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92" w:rsidRPr="00E42092" w:rsidRDefault="00E42092" w:rsidP="00E4209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bookmarkStart w:id="0" w:name="_GoBack"/>
      <w:bookmarkEnd w:id="0"/>
      <w:r w:rsidRPr="00E42092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ЗАКЛЮЧЕНИЕ</w:t>
      </w:r>
    </w:p>
    <w:p w:rsidR="00E42092" w:rsidRPr="00E42092" w:rsidRDefault="00E42092" w:rsidP="00E4209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E42092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О РЕЗУЛЬТАТАХ  ПУБЛИЧНЫХ СЛУШАНИЙ</w:t>
      </w:r>
    </w:p>
    <w:p w:rsidR="00E42092" w:rsidRPr="00E42092" w:rsidRDefault="00E42092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ru-RU"/>
        </w:rPr>
      </w:pPr>
      <w:r w:rsidRPr="00E42092">
        <w:rPr>
          <w:rFonts w:ascii="Times New Roman" w:eastAsiaTheme="minorHAnsi" w:hAnsi="Times New Roman"/>
          <w:bCs/>
          <w:color w:val="000000"/>
          <w:sz w:val="25"/>
          <w:szCs w:val="25"/>
          <w:bdr w:val="none" w:sz="0" w:space="0" w:color="auto" w:frame="1"/>
        </w:rPr>
        <w:t xml:space="preserve">по обсуждению проектов 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постановлений администрации МР «Печора»:  «Об утверждении проекта планировки и проекта межевания территории»; «Об утверждении проекта межевания территории» </w:t>
      </w:r>
    </w:p>
    <w:p w:rsidR="00E42092" w:rsidRPr="00E42092" w:rsidRDefault="00E42092" w:rsidP="00E42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Публичные слушания назначены распоряжением председателя Совета муниципального района «Печора»  от «13» июня 2019 года № 06-284 </w:t>
      </w:r>
      <w:r w:rsidRPr="00E42092">
        <w:rPr>
          <w:rFonts w:ascii="Times New Roman" w:eastAsiaTheme="minorHAnsi" w:hAnsi="Times New Roman"/>
          <w:b/>
          <w:bCs/>
          <w:sz w:val="25"/>
          <w:szCs w:val="25"/>
          <w:bdr w:val="none" w:sz="0" w:space="0" w:color="auto" w:frame="1"/>
          <w:lang w:eastAsia="ru-RU"/>
        </w:rPr>
        <w:t>«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О проведении публичных слушаний по проектам муниципальных правовых актов».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lang w:eastAsia="ru-RU"/>
        </w:rPr>
      </w:pPr>
      <w:r w:rsidRPr="00E42092">
        <w:rPr>
          <w:rFonts w:ascii="Times New Roman" w:eastAsiaTheme="minorHAnsi" w:hAnsi="Times New Roman"/>
          <w:b/>
          <w:bCs/>
          <w:sz w:val="25"/>
          <w:szCs w:val="25"/>
          <w:bdr w:val="none" w:sz="0" w:space="0" w:color="auto" w:frame="1"/>
          <w:lang w:eastAsia="ru-RU"/>
        </w:rPr>
        <w:t>Инициатор публичных слушаний: 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председатель Совета МР «Печора».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b/>
          <w:bCs/>
          <w:sz w:val="25"/>
          <w:szCs w:val="25"/>
          <w:bdr w:val="none" w:sz="0" w:space="0" w:color="auto" w:frame="1"/>
          <w:lang w:eastAsia="ru-RU"/>
        </w:rPr>
        <w:t>Дата проведения: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 25 июля 2019 года.   </w:t>
      </w:r>
    </w:p>
    <w:p w:rsidR="00E42092" w:rsidRPr="00E42092" w:rsidRDefault="00E42092" w:rsidP="00E420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В слушаниях приняли участие </w:t>
      </w:r>
      <w:r w:rsidRPr="00E42092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eastAsia="ru-RU"/>
        </w:rPr>
        <w:t>представители структурных подразделений администрации СП «Чикшино», администрации МР «Печора», население п. Чикшино, представител</w:t>
      </w:r>
      <w:proofErr w:type="gramStart"/>
      <w:r w:rsidRPr="00E42092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eastAsia="ru-RU"/>
        </w:rPr>
        <w:t>и ООО</w:t>
      </w:r>
      <w:proofErr w:type="gramEnd"/>
      <w:r w:rsidRPr="00E42092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«НИПИ нефти и газа УГТУ».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lang w:eastAsia="ru-RU"/>
        </w:rPr>
      </w:pPr>
      <w:r w:rsidRPr="00E42092">
        <w:rPr>
          <w:rFonts w:ascii="Times New Roman" w:eastAsiaTheme="minorHAnsi" w:hAnsi="Times New Roman"/>
          <w:b/>
          <w:bCs/>
          <w:sz w:val="25"/>
          <w:szCs w:val="25"/>
          <w:bdr w:val="none" w:sz="0" w:space="0" w:color="auto" w:frame="1"/>
          <w:lang w:eastAsia="ru-RU"/>
        </w:rPr>
        <w:t>Количество участников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: 16 человек.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  <w:t xml:space="preserve">Председательствующий: 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Черная А.П. – глава сельского поселения «Чикшино». 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  <w:t xml:space="preserve">Докладчик: 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Кокоулина Е.В. -</w:t>
      </w:r>
      <w:r w:rsidRPr="00E42092"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  <w:t xml:space="preserve">  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заместитель главного архитектора отдела архитектуры и градостроительства администрации МР «Печора».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  <w:t xml:space="preserve">В ходе обсуждения пришли к заключению: 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  <w:t xml:space="preserve">По проекту 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«Об утверждении проекта планировки и проекта межевания территории» по объекту «Обустройство куста скважин № 227, 208, 240 Северо-Кожвинского нефтяного месторождения»:</w:t>
      </w:r>
    </w:p>
    <w:p w:rsidR="00E42092" w:rsidRPr="00E42092" w:rsidRDefault="00E42092" w:rsidP="00E42092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Признать публичные слушания по проекту постановления администрации МР «Печора» «Об утверждении проекта планировки и проекта межевания территории» состоявшимися.</w:t>
      </w:r>
    </w:p>
    <w:p w:rsidR="00E42092" w:rsidRPr="00E42092" w:rsidRDefault="00E42092" w:rsidP="00E42092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Согласиться с предложенным проектом постановления администрации МР «Печора» 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Голосовали:   «ЗА» - 16,  «ПРОТИВ» - нет,   «ВОЗД.»  -  нет. Заключение принимается.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  <w:t>По проекту «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Об утверждении проекта межевания территории» по объекту «Образование земельного участка с видом разрешенного использования «Здания для отправления культа, рассчитанные на прихожан (конфессиональные объекты)» по адресу: Республика Коми, г. Печора, п. Чикшино, ул. Школьная, д. 2.»:</w:t>
      </w:r>
    </w:p>
    <w:p w:rsidR="00E42092" w:rsidRPr="00E42092" w:rsidRDefault="00E42092" w:rsidP="00E42092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Признать публичные слушания по проекту постановления администрации МР «Печора» «Об утверждении проекта планировки и проекта межевания территории» состоявшимися.</w:t>
      </w:r>
    </w:p>
    <w:p w:rsidR="00E42092" w:rsidRPr="00E42092" w:rsidRDefault="00E42092" w:rsidP="00E42092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Согласиться с предложенным проектом постановления администрации МР «Печора» 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Голосовали: «ЗА» - 16, «ПРОТИВ» - нет, «ВОЗД.» -  нет. Заключение принимается.</w:t>
      </w:r>
    </w:p>
    <w:p w:rsidR="00E42092" w:rsidRDefault="00E42092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</w:p>
    <w:p w:rsidR="00E42092" w:rsidRDefault="00E42092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</w:p>
    <w:p w:rsidR="00E42092" w:rsidRPr="00E42092" w:rsidRDefault="00E42092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Председательствующий                                                                                 А.П. </w:t>
      </w:r>
      <w:proofErr w:type="gramStart"/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Черная</w:t>
      </w:r>
      <w:proofErr w:type="gramEnd"/>
    </w:p>
    <w:p w:rsidR="00E42092" w:rsidRPr="00E42092" w:rsidRDefault="00E42092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</w:p>
    <w:p w:rsidR="00E42092" w:rsidRPr="00E42092" w:rsidRDefault="00E42092" w:rsidP="00E42092">
      <w:pPr>
        <w:spacing w:after="0" w:line="240" w:lineRule="auto"/>
        <w:jc w:val="both"/>
        <w:rPr>
          <w:rFonts w:ascii="Times New Roman" w:hAnsi="Times New Roman"/>
          <w:sz w:val="25"/>
          <w:szCs w:val="25"/>
          <w:shd w:val="clear" w:color="auto" w:fill="FFFFFF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Секретарь                                                                                             Е.А. Мещанникова</w:t>
      </w:r>
    </w:p>
    <w:p w:rsidR="00435332" w:rsidRPr="006228CD" w:rsidRDefault="00435332" w:rsidP="00E4209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</w:p>
    <w:sectPr w:rsidR="00435332" w:rsidRPr="006228CD" w:rsidSect="00F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EC9"/>
    <w:multiLevelType w:val="hybridMultilevel"/>
    <w:tmpl w:val="FC224BFE"/>
    <w:lvl w:ilvl="0" w:tplc="80803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105E1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39FF"/>
    <w:multiLevelType w:val="hybridMultilevel"/>
    <w:tmpl w:val="D09CB116"/>
    <w:lvl w:ilvl="0" w:tplc="CB146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DA16CF"/>
    <w:multiLevelType w:val="hybridMultilevel"/>
    <w:tmpl w:val="875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4FC1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A3FFC"/>
    <w:rsid w:val="000A58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3383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5D2F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A99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0679C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44A3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163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C46A5"/>
    <w:rsid w:val="00BD4BF0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D51AA"/>
    <w:rsid w:val="00CE1106"/>
    <w:rsid w:val="00CE57D5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81A27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14D9"/>
    <w:rsid w:val="00E1518F"/>
    <w:rsid w:val="00E20AAC"/>
    <w:rsid w:val="00E22ECE"/>
    <w:rsid w:val="00E235B1"/>
    <w:rsid w:val="00E2516B"/>
    <w:rsid w:val="00E25C0A"/>
    <w:rsid w:val="00E42092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5F62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1814"/>
    <w:rsid w:val="00F831C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137A-EEFE-4C22-8D68-4AC84C91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24</cp:revision>
  <cp:lastPrinted>2019-05-31T09:43:00Z</cp:lastPrinted>
  <dcterms:created xsi:type="dcterms:W3CDTF">2018-05-10T14:21:00Z</dcterms:created>
  <dcterms:modified xsi:type="dcterms:W3CDTF">2019-07-29T09:34:00Z</dcterms:modified>
</cp:coreProperties>
</file>