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16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110"/>
      </w:tblGrid>
      <w:tr w:rsidR="005F4223" w:rsidRPr="00293D3F" w:rsidTr="005F4223">
        <w:tc>
          <w:tcPr>
            <w:tcW w:w="4077" w:type="dxa"/>
          </w:tcPr>
          <w:p w:rsidR="005F4223" w:rsidRPr="00293D3F" w:rsidRDefault="005F4223" w:rsidP="005F422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5F4223" w:rsidRPr="00293D3F" w:rsidRDefault="005F4223" w:rsidP="005F4223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293D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hideMark/>
          </w:tcPr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61.5pt;height:71.25pt" fillcolor="window">
                  <v:imagedata r:id="rId6" o:title=""/>
                </v:shape>
              </w:object>
            </w:r>
          </w:p>
        </w:tc>
        <w:tc>
          <w:tcPr>
            <w:tcW w:w="4110" w:type="dxa"/>
          </w:tcPr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5F4223" w:rsidRPr="00293D3F" w:rsidRDefault="005F4223" w:rsidP="005F4223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5F4223" w:rsidRPr="00293D3F" w:rsidRDefault="005F4223" w:rsidP="005F4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5F4223" w:rsidRPr="00293D3F" w:rsidRDefault="005F4223" w:rsidP="005F4223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5F4223" w:rsidRPr="00293D3F" w:rsidRDefault="005F4223" w:rsidP="005F422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5F4223" w:rsidRPr="00293D3F" w:rsidRDefault="005F4223" w:rsidP="005F422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>П О М Ш У Ö М</w:t>
      </w:r>
    </w:p>
    <w:p w:rsidR="005F4223" w:rsidRPr="00293D3F" w:rsidRDefault="005F4223" w:rsidP="005F422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Р Е Ш Е Н И Е </w:t>
      </w:r>
    </w:p>
    <w:p w:rsidR="005F4223" w:rsidRPr="005F4223" w:rsidRDefault="005F4223" w:rsidP="005F42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0" w:lineRule="atLeast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b/>
          <w:sz w:val="26"/>
          <w:szCs w:val="26"/>
          <w:lang w:eastAsia="ru-RU"/>
        </w:rPr>
        <w:t>Об утверждении Положения о порядке обращения за пенсией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5F4223">
        <w:rPr>
          <w:rFonts w:ascii="Times New Roman" w:eastAsia="Times New Roman" w:hAnsi="Times New Roman"/>
          <w:b/>
          <w:sz w:val="26"/>
          <w:szCs w:val="26"/>
          <w:lang w:eastAsia="ru-RU"/>
        </w:rPr>
        <w:t>за выслугу лет, ее назначения и выплаты лицу, замещавшему муниципальную должность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В соответствии со статьей 2 Закона Республики Коми от </w:t>
      </w:r>
      <w:r>
        <w:rPr>
          <w:rFonts w:ascii="Times New Roman" w:hAnsi="Times New Roman"/>
          <w:sz w:val="26"/>
          <w:szCs w:val="26"/>
          <w:lang w:eastAsia="ru-RU"/>
        </w:rPr>
        <w:t>24.12.2019 </w:t>
      </w:r>
      <w:r w:rsidRPr="005F4223">
        <w:rPr>
          <w:rFonts w:ascii="Times New Roman" w:hAnsi="Times New Roman"/>
          <w:sz w:val="26"/>
          <w:szCs w:val="26"/>
          <w:lang w:eastAsia="ru-RU"/>
        </w:rPr>
        <w:t>№</w:t>
      </w:r>
      <w:r w:rsidRPr="005F4223">
        <w:rPr>
          <w:rFonts w:ascii="Times New Roman" w:hAnsi="Times New Roman"/>
          <w:sz w:val="26"/>
          <w:szCs w:val="26"/>
          <w:lang w:eastAsia="ru-RU"/>
        </w:rPr>
        <w:t> 104-РЗ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«О внесении изменений в некоторые законы Республики Коми по вопросам пенсионного обеспечения за выслугу лет»; статьей 5 Закона Республики Коми от 30.04.2008 № 24-РЗ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основе», статьей 26 Устава муниципального образования муниципального района «Печора», Совет муниципального района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«Печора»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F4223">
        <w:rPr>
          <w:rFonts w:ascii="Times New Roman" w:eastAsia="Times New Roman" w:hAnsi="Times New Roman"/>
          <w:b/>
          <w:sz w:val="26"/>
          <w:szCs w:val="26"/>
          <w:lang w:eastAsia="ru-RU"/>
        </w:rPr>
        <w:t>р е ш и л: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4223" w:rsidRPr="005F4223" w:rsidRDefault="005F4223" w:rsidP="005F4223">
      <w:pPr>
        <w:numPr>
          <w:ilvl w:val="0"/>
          <w:numId w:val="1"/>
        </w:numPr>
        <w:tabs>
          <w:tab w:val="left" w:pos="1134"/>
        </w:tabs>
        <w:spacing w:after="0" w:line="20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Утвердить Положение о порядке обращения за пенсией за выслугу лет, ее назначения и выплаты лицу, замещавшему муниципальную должность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приложению.</w:t>
      </w:r>
    </w:p>
    <w:p w:rsidR="005F4223" w:rsidRPr="005F4223" w:rsidRDefault="005F4223" w:rsidP="005F4223">
      <w:pPr>
        <w:spacing w:after="0" w:line="20" w:lineRule="atLeast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2. Возложить на администрацию муниципального района «Печора» по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лномочия по принятию решения о 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назначении и выплаты пенсии за выслугу лет лицу, замещавшему муниципальную должность, а также иных полномочий, предусмотренных настоящим решением.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3. Признать утра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тившими силу решение</w:t>
      </w: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муниципального района «Печора» от 03 октября 2019 года № 6-38/427 «Об утверждении положения о порядке обращения за пенсией за выслугу лет, ее назначения и выплаты лицу, замещавшему муниципальную должность».</w:t>
      </w:r>
      <w:r w:rsidRPr="005F4223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4. Контроль за выполнением настоящего решения возложить на постоянные комиссии Совета муниципального района «Печора» по законности и депутатской этике (Хватов М.Б.) и по бюджету, налогам и экономическому развитию муниципального района (Родинский О.А.).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5. Настоящее решение вступает в силу со дня его официального опубликования.</w:t>
      </w:r>
    </w:p>
    <w:p w:rsidR="005F4223" w:rsidRPr="005F4223" w:rsidRDefault="005F4223" w:rsidP="005F4223">
      <w:pPr>
        <w:tabs>
          <w:tab w:val="num" w:pos="993"/>
        </w:tabs>
        <w:spacing w:after="0" w:line="20" w:lineRule="atLeast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5F422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</w:p>
    <w:p w:rsidR="005F4223" w:rsidRPr="005F4223" w:rsidRDefault="005F4223" w:rsidP="005F4223">
      <w:pPr>
        <w:spacing w:after="0" w:line="20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4223" w:rsidRPr="005F4223" w:rsidRDefault="005F4223" w:rsidP="005F4223">
      <w:pPr>
        <w:spacing w:after="0" w:line="20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4223" w:rsidRPr="005F4223" w:rsidRDefault="005F4223" w:rsidP="005F4223">
      <w:pPr>
        <w:spacing w:after="0" w:line="20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>И.о. главы муниципального района «Печора» –</w:t>
      </w:r>
    </w:p>
    <w:p w:rsidR="005F4223" w:rsidRPr="005F4223" w:rsidRDefault="005F4223" w:rsidP="005F4223">
      <w:pPr>
        <w:spacing w:after="0" w:line="20" w:lineRule="atLeast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                          </w:t>
      </w:r>
      <w:bookmarkStart w:id="0" w:name="_GoBack"/>
      <w:bookmarkEnd w:id="0"/>
      <w:r w:rsidRPr="005F4223">
        <w:rPr>
          <w:rFonts w:ascii="Times New Roman" w:eastAsia="Times New Roman" w:hAnsi="Times New Roman"/>
          <w:sz w:val="26"/>
          <w:szCs w:val="26"/>
          <w:lang w:eastAsia="ru-RU"/>
        </w:rPr>
        <w:t xml:space="preserve">     Р.И. Грибанов</w:t>
      </w:r>
    </w:p>
    <w:p w:rsidR="005F4223" w:rsidRPr="005F4223" w:rsidRDefault="005F4223" w:rsidP="005F42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4223" w:rsidRPr="005F4223" w:rsidRDefault="005F4223" w:rsidP="005F42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4223" w:rsidRDefault="005F4223" w:rsidP="005F422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</w:p>
    <w:p w:rsidR="005F4223" w:rsidRDefault="005F4223" w:rsidP="005F422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23 июня 2020 года </w:t>
      </w:r>
    </w:p>
    <w:p w:rsidR="00DD363E" w:rsidRDefault="005F4223" w:rsidP="005F4223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№ 6-45/493</w:t>
      </w:r>
    </w:p>
    <w:sectPr w:rsidR="00DD363E" w:rsidSect="005F422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1137A"/>
    <w:multiLevelType w:val="hybridMultilevel"/>
    <w:tmpl w:val="ECAE4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2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223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2020-06-25T14:24:00Z</dcterms:created>
  <dcterms:modified xsi:type="dcterms:W3CDTF">2020-06-25T14:33:00Z</dcterms:modified>
</cp:coreProperties>
</file>