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5DA" w:rsidRDefault="007B2386" w:rsidP="006F328A">
      <w:pPr>
        <w:spacing w:after="0" w:line="240" w:lineRule="auto"/>
        <w:ind w:firstLine="709"/>
        <w:jc w:val="right"/>
        <w:rPr>
          <w:rFonts w:ascii="Times New Roman" w:eastAsia="PT Astra Serif" w:hAnsi="Times New Roman" w:cs="Times New Roman"/>
          <w:color w:val="000000"/>
          <w:sz w:val="28"/>
          <w:szCs w:val="28"/>
        </w:rPr>
      </w:pPr>
      <w:r>
        <w:rPr>
          <w:rFonts w:ascii="Times New Roman" w:eastAsia="PT Astra Serif" w:hAnsi="Times New Roman" w:cs="Times New Roman"/>
          <w:color w:val="000000"/>
          <w:sz w:val="28"/>
          <w:szCs w:val="28"/>
        </w:rPr>
        <w:t>Приложение</w:t>
      </w:r>
    </w:p>
    <w:p w:rsidR="00CF15A7" w:rsidRDefault="00CF15A7" w:rsidP="006F328A">
      <w:pPr>
        <w:spacing w:after="0" w:line="240" w:lineRule="auto"/>
        <w:ind w:firstLine="709"/>
        <w:jc w:val="right"/>
        <w:rPr>
          <w:rFonts w:ascii="Times New Roman" w:eastAsia="PT Astra Serif" w:hAnsi="Times New Roman" w:cs="Times New Roman"/>
          <w:color w:val="000000"/>
          <w:sz w:val="28"/>
          <w:szCs w:val="28"/>
        </w:rPr>
      </w:pPr>
      <w:r>
        <w:rPr>
          <w:rFonts w:ascii="Times New Roman" w:eastAsia="PT Astra Serif" w:hAnsi="Times New Roman" w:cs="Times New Roman"/>
          <w:color w:val="000000"/>
          <w:sz w:val="28"/>
          <w:szCs w:val="28"/>
        </w:rPr>
        <w:t xml:space="preserve">к </w:t>
      </w:r>
      <w:r w:rsidR="00485A4E">
        <w:rPr>
          <w:rFonts w:ascii="Times New Roman" w:eastAsia="PT Astra Serif" w:hAnsi="Times New Roman" w:cs="Times New Roman"/>
          <w:color w:val="000000"/>
          <w:sz w:val="28"/>
          <w:szCs w:val="28"/>
        </w:rPr>
        <w:t>постановлению</w:t>
      </w:r>
      <w:r>
        <w:rPr>
          <w:rFonts w:ascii="Times New Roman" w:eastAsia="PT Astra Serif" w:hAnsi="Times New Roman" w:cs="Times New Roman"/>
          <w:color w:val="000000"/>
          <w:sz w:val="28"/>
          <w:szCs w:val="28"/>
        </w:rPr>
        <w:t xml:space="preserve"> администрации МР «Печора»</w:t>
      </w:r>
    </w:p>
    <w:p w:rsidR="00CF15A7" w:rsidRDefault="00CF15A7" w:rsidP="006F328A">
      <w:pPr>
        <w:spacing w:after="0" w:line="240" w:lineRule="auto"/>
        <w:ind w:firstLine="709"/>
        <w:jc w:val="right"/>
        <w:rPr>
          <w:rFonts w:ascii="Times New Roman" w:eastAsia="PT Astra Serif" w:hAnsi="Times New Roman" w:cs="Times New Roman"/>
          <w:color w:val="000000"/>
          <w:sz w:val="28"/>
          <w:szCs w:val="28"/>
        </w:rPr>
      </w:pPr>
      <w:r>
        <w:rPr>
          <w:rFonts w:ascii="Times New Roman" w:eastAsia="PT Astra Serif" w:hAnsi="Times New Roman" w:cs="Times New Roman"/>
          <w:color w:val="000000"/>
          <w:sz w:val="28"/>
          <w:szCs w:val="28"/>
        </w:rPr>
        <w:t xml:space="preserve">от </w:t>
      </w:r>
      <w:r w:rsidR="00485A4E">
        <w:rPr>
          <w:rFonts w:ascii="Times New Roman" w:eastAsia="PT Astra Serif" w:hAnsi="Times New Roman" w:cs="Times New Roman"/>
          <w:color w:val="000000"/>
          <w:sz w:val="28"/>
          <w:szCs w:val="28"/>
        </w:rPr>
        <w:t xml:space="preserve">     </w:t>
      </w:r>
      <w:r w:rsidR="00F2625A">
        <w:rPr>
          <w:rFonts w:ascii="Times New Roman" w:eastAsia="PT Astra Serif" w:hAnsi="Times New Roman" w:cs="Times New Roman"/>
          <w:color w:val="000000"/>
          <w:sz w:val="28"/>
          <w:szCs w:val="28"/>
        </w:rPr>
        <w:t>20</w:t>
      </w:r>
      <w:r w:rsidR="00485A4E">
        <w:rPr>
          <w:rFonts w:ascii="Times New Roman" w:eastAsia="PT Astra Serif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PT Astra Serif" w:hAnsi="Times New Roman" w:cs="Times New Roman"/>
          <w:color w:val="000000"/>
          <w:sz w:val="28"/>
          <w:szCs w:val="28"/>
        </w:rPr>
        <w:t xml:space="preserve">июня 2025 г. </w:t>
      </w:r>
      <w:r w:rsidR="00485A4E">
        <w:rPr>
          <w:rFonts w:ascii="Times New Roman" w:eastAsia="PT Astra Serif" w:hAnsi="Times New Roman" w:cs="Times New Roman"/>
          <w:color w:val="000000"/>
          <w:sz w:val="28"/>
          <w:szCs w:val="28"/>
        </w:rPr>
        <w:t xml:space="preserve">№ </w:t>
      </w:r>
      <w:r w:rsidR="00F2625A">
        <w:rPr>
          <w:rFonts w:ascii="Times New Roman" w:eastAsia="PT Astra Serif" w:hAnsi="Times New Roman" w:cs="Times New Roman"/>
          <w:color w:val="000000"/>
          <w:sz w:val="28"/>
          <w:szCs w:val="28"/>
        </w:rPr>
        <w:t>867</w:t>
      </w:r>
      <w:bookmarkStart w:id="0" w:name="_GoBack"/>
      <w:bookmarkEnd w:id="0"/>
    </w:p>
    <w:p w:rsidR="00CF15A7" w:rsidRPr="004446A7" w:rsidRDefault="00CF15A7">
      <w:pPr>
        <w:spacing w:after="0" w:line="240" w:lineRule="auto"/>
        <w:ind w:firstLine="709"/>
        <w:jc w:val="both"/>
        <w:rPr>
          <w:rFonts w:ascii="Times New Roman" w:eastAsia="PT Astra Serif" w:hAnsi="Times New Roman" w:cs="Times New Roman"/>
          <w:color w:val="000000"/>
          <w:sz w:val="28"/>
          <w:szCs w:val="28"/>
        </w:rPr>
      </w:pPr>
    </w:p>
    <w:p w:rsidR="00A145DA" w:rsidRPr="004446A7" w:rsidRDefault="00A145DA">
      <w:pPr>
        <w:spacing w:after="0" w:line="240" w:lineRule="auto"/>
        <w:ind w:firstLine="709"/>
        <w:jc w:val="both"/>
        <w:rPr>
          <w:rFonts w:ascii="Times New Roman" w:eastAsia="PT Astra Serif" w:hAnsi="Times New Roman" w:cs="Times New Roman"/>
          <w:color w:val="000000"/>
          <w:sz w:val="28"/>
          <w:szCs w:val="28"/>
        </w:rPr>
      </w:pPr>
    </w:p>
    <w:p w:rsidR="00A145DA" w:rsidRPr="004446A7" w:rsidRDefault="0033097A">
      <w:pPr>
        <w:pStyle w:val="Default"/>
        <w:jc w:val="center"/>
        <w:rPr>
          <w:rFonts w:ascii="Times New Roman" w:hAnsi="Times New Roman" w:cs="Times New Roman"/>
        </w:rPr>
      </w:pPr>
      <w:r w:rsidRPr="004446A7">
        <w:rPr>
          <w:rFonts w:ascii="Times New Roman" w:eastAsia="PT Astra Serif" w:hAnsi="Times New Roman" w:cs="Times New Roman"/>
          <w:b/>
          <w:bCs/>
          <w:color w:val="000000" w:themeColor="text1"/>
          <w:sz w:val="28"/>
          <w:szCs w:val="28"/>
        </w:rPr>
        <w:t>ПОРЯДОК</w:t>
      </w:r>
    </w:p>
    <w:p w:rsidR="00A145DA" w:rsidRPr="004446A7" w:rsidRDefault="0033097A">
      <w:pPr>
        <w:pStyle w:val="Default"/>
        <w:ind w:firstLine="709"/>
        <w:jc w:val="center"/>
        <w:rPr>
          <w:rFonts w:ascii="Times New Roman" w:hAnsi="Times New Roman" w:cs="Times New Roman"/>
        </w:rPr>
      </w:pPr>
      <w:r w:rsidRPr="004446A7">
        <w:rPr>
          <w:rFonts w:ascii="Times New Roman" w:eastAsia="PT Astra Serif" w:hAnsi="Times New Roman" w:cs="Times New Roman"/>
          <w:b/>
          <w:bCs/>
          <w:color w:val="000000" w:themeColor="text1"/>
          <w:sz w:val="28"/>
          <w:szCs w:val="28"/>
        </w:rPr>
        <w:t>регулярного сбора и анализа обратной связи (от вн</w:t>
      </w:r>
      <w:r w:rsidR="00F47B84">
        <w:rPr>
          <w:rFonts w:ascii="Times New Roman" w:eastAsia="PT Astra Serif" w:hAnsi="Times New Roman" w:cs="Times New Roman"/>
          <w:b/>
          <w:bCs/>
          <w:color w:val="000000" w:themeColor="text1"/>
          <w:sz w:val="28"/>
          <w:szCs w:val="28"/>
        </w:rPr>
        <w:t xml:space="preserve">ешних и </w:t>
      </w:r>
      <w:r w:rsidR="007B2386">
        <w:rPr>
          <w:rFonts w:ascii="Times New Roman" w:eastAsia="PT Astra Serif" w:hAnsi="Times New Roman" w:cs="Times New Roman"/>
          <w:b/>
          <w:bCs/>
          <w:color w:val="000000" w:themeColor="text1"/>
          <w:sz w:val="28"/>
          <w:szCs w:val="28"/>
        </w:rPr>
        <w:t>в</w:t>
      </w:r>
      <w:r w:rsidR="00F47B84">
        <w:rPr>
          <w:rFonts w:ascii="Times New Roman" w:eastAsia="PT Astra Serif" w:hAnsi="Times New Roman" w:cs="Times New Roman"/>
          <w:b/>
          <w:bCs/>
          <w:color w:val="000000" w:themeColor="text1"/>
          <w:sz w:val="28"/>
          <w:szCs w:val="28"/>
        </w:rPr>
        <w:t xml:space="preserve">нутренних клиентов) </w:t>
      </w:r>
    </w:p>
    <w:p w:rsidR="00A145DA" w:rsidRPr="004446A7" w:rsidRDefault="00A145DA">
      <w:pPr>
        <w:pStyle w:val="Default"/>
        <w:ind w:firstLine="709"/>
        <w:jc w:val="center"/>
        <w:rPr>
          <w:rFonts w:ascii="Times New Roman" w:eastAsia="PT Astra Serif" w:hAnsi="Times New Roman" w:cs="Times New Roman"/>
          <w:b/>
          <w:bCs/>
          <w:sz w:val="28"/>
          <w:szCs w:val="28"/>
        </w:rPr>
      </w:pPr>
    </w:p>
    <w:p w:rsidR="00A145DA" w:rsidRPr="004446A7" w:rsidRDefault="0033097A">
      <w:pPr>
        <w:pStyle w:val="Default"/>
        <w:numPr>
          <w:ilvl w:val="0"/>
          <w:numId w:val="2"/>
        </w:numPr>
        <w:jc w:val="center"/>
        <w:rPr>
          <w:rFonts w:ascii="Times New Roman" w:hAnsi="Times New Roman" w:cs="Times New Roman"/>
        </w:rPr>
      </w:pPr>
      <w:r w:rsidRPr="004446A7">
        <w:rPr>
          <w:rFonts w:ascii="Times New Roman" w:eastAsia="PT Astra Serif" w:hAnsi="Times New Roman" w:cs="Times New Roman"/>
          <w:b/>
          <w:bCs/>
          <w:color w:val="000000" w:themeColor="text1"/>
          <w:sz w:val="28"/>
          <w:szCs w:val="28"/>
        </w:rPr>
        <w:t>Общие положения</w:t>
      </w:r>
    </w:p>
    <w:p w:rsidR="00A145DA" w:rsidRPr="004446A7" w:rsidRDefault="00A145DA">
      <w:pPr>
        <w:pStyle w:val="Default"/>
        <w:ind w:firstLine="709"/>
        <w:jc w:val="both"/>
        <w:rPr>
          <w:rFonts w:ascii="Times New Roman" w:eastAsia="PT Astra Serif" w:hAnsi="Times New Roman" w:cs="Times New Roman"/>
          <w:b/>
          <w:bCs/>
          <w:sz w:val="28"/>
          <w:szCs w:val="28"/>
        </w:rPr>
      </w:pPr>
    </w:p>
    <w:p w:rsidR="00A145DA" w:rsidRPr="004446A7" w:rsidRDefault="0033097A">
      <w:pPr>
        <w:pStyle w:val="Default"/>
        <w:ind w:firstLine="709"/>
        <w:jc w:val="both"/>
        <w:rPr>
          <w:rFonts w:ascii="Times New Roman" w:eastAsia="PT Astra Serif" w:hAnsi="Times New Roman" w:cs="Times New Roman"/>
          <w:b/>
          <w:bCs/>
          <w:i/>
        </w:rPr>
      </w:pPr>
      <w:proofErr w:type="gramStart"/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 xml:space="preserve">Настоящий Порядок регулярного сбора и анализа обратной связи (от внешних и внутренних клиентов) в </w:t>
      </w:r>
      <w:r w:rsidR="00F47B84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>а</w:t>
      </w: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 xml:space="preserve">дминистрации </w:t>
      </w:r>
      <w:r w:rsidR="00F47B84" w:rsidRPr="00F47B84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>муниципального района «Печора»</w:t>
      </w:r>
      <w:r w:rsidR="00F47B84">
        <w:rPr>
          <w:rFonts w:ascii="Times New Roman" w:eastAsia="PT Astra Serif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 xml:space="preserve"> (далее - Порядок) определяет общие подходы и направления по сбору и анализу обратной связи от внешних и внутренних клиентов в </w:t>
      </w:r>
      <w:r w:rsidR="00CF15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>а</w:t>
      </w: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 xml:space="preserve">дминистрации </w:t>
      </w:r>
      <w:r w:rsidR="00CF15A7" w:rsidRPr="00CF15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>муниципального района  «Печора»</w:t>
      </w:r>
      <w:r w:rsidRPr="004446A7">
        <w:rPr>
          <w:rFonts w:ascii="Times New Roman" w:eastAsia="PT Astra Serif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 xml:space="preserve">(далее – </w:t>
      </w:r>
      <w:r w:rsidR="00457331"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>Орган</w:t>
      </w: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 xml:space="preserve">) и разработан в целях внедрения принципов и стандартов </w:t>
      </w:r>
      <w:proofErr w:type="spellStart"/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>клиентоцентричности</w:t>
      </w:r>
      <w:proofErr w:type="spellEnd"/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 xml:space="preserve"> в деятельность муниципальных служащих.</w:t>
      </w:r>
      <w:proofErr w:type="gramEnd"/>
    </w:p>
    <w:p w:rsidR="00A145DA" w:rsidRPr="004446A7" w:rsidRDefault="00A145DA">
      <w:pPr>
        <w:pStyle w:val="Default"/>
        <w:ind w:firstLine="709"/>
        <w:jc w:val="both"/>
        <w:rPr>
          <w:rStyle w:val="fontstyle01"/>
          <w:rFonts w:ascii="Times New Roman" w:eastAsia="PT Astra Serif" w:hAnsi="Times New Roman" w:cs="Times New Roman"/>
        </w:rPr>
      </w:pPr>
    </w:p>
    <w:p w:rsidR="00A145DA" w:rsidRPr="004446A7" w:rsidRDefault="0033097A">
      <w:pPr>
        <w:pStyle w:val="Default"/>
        <w:numPr>
          <w:ilvl w:val="0"/>
          <w:numId w:val="2"/>
        </w:numPr>
        <w:jc w:val="center"/>
        <w:rPr>
          <w:rFonts w:ascii="Times New Roman" w:hAnsi="Times New Roman" w:cs="Times New Roman"/>
        </w:rPr>
      </w:pPr>
      <w:r w:rsidRPr="004446A7">
        <w:rPr>
          <w:rFonts w:ascii="Times New Roman" w:eastAsia="PT Astra Serif" w:hAnsi="Times New Roman" w:cs="Times New Roman"/>
          <w:b/>
          <w:bCs/>
          <w:color w:val="000000" w:themeColor="text1"/>
          <w:sz w:val="28"/>
          <w:szCs w:val="28"/>
        </w:rPr>
        <w:t>Термины и определения</w:t>
      </w:r>
    </w:p>
    <w:p w:rsidR="00A145DA" w:rsidRPr="004446A7" w:rsidRDefault="00A145DA">
      <w:pPr>
        <w:pStyle w:val="afe"/>
        <w:spacing w:line="240" w:lineRule="auto"/>
        <w:ind w:firstLine="709"/>
        <w:rPr>
          <w:rFonts w:eastAsia="PT Astra Serif"/>
          <w:i/>
          <w:iCs/>
          <w:color w:val="000000"/>
        </w:rPr>
      </w:pPr>
    </w:p>
    <w:p w:rsidR="00A145DA" w:rsidRPr="004446A7" w:rsidRDefault="0033097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>Для целей настоящего Порядка используются следующие понятия:</w:t>
      </w:r>
    </w:p>
    <w:p w:rsidR="00A145DA" w:rsidRPr="004446A7" w:rsidRDefault="0033097A">
      <w:pPr>
        <w:spacing w:after="0" w:line="240" w:lineRule="auto"/>
        <w:ind w:firstLine="709"/>
        <w:jc w:val="both"/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</w:pPr>
      <w:proofErr w:type="spellStart"/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>клиентоцентричность</w:t>
      </w:r>
      <w:proofErr w:type="spellEnd"/>
      <w:r w:rsidRPr="004446A7">
        <w:rPr>
          <w:rFonts w:ascii="Times New Roman" w:eastAsia="PT Astra Serif" w:hAnsi="Times New Roman" w:cs="Times New Roman"/>
          <w:iCs/>
          <w:color w:val="000000" w:themeColor="text1"/>
          <w:sz w:val="28"/>
          <w:szCs w:val="28"/>
        </w:rPr>
        <w:t xml:space="preserve"> – </w:t>
      </w: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>концепция государственного управления, ориентированная на постоянное совершенствование процессов удовлетворения потребностей клиента на основе непрерывного изучения клиентского опыта;</w:t>
      </w:r>
    </w:p>
    <w:p w:rsidR="00A145DA" w:rsidRPr="004446A7" w:rsidRDefault="003309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6A7">
        <w:rPr>
          <w:rFonts w:ascii="Times New Roman" w:hAnsi="Times New Roman" w:cs="Times New Roman"/>
          <w:sz w:val="28"/>
          <w:szCs w:val="28"/>
        </w:rPr>
        <w:t xml:space="preserve">клиент - физическое или юридическое лицо, взаимодействующее с </w:t>
      </w:r>
      <w:r w:rsidR="00F47B84">
        <w:rPr>
          <w:rFonts w:ascii="Times New Roman" w:hAnsi="Times New Roman" w:cs="Times New Roman"/>
          <w:sz w:val="28"/>
          <w:szCs w:val="28"/>
        </w:rPr>
        <w:t xml:space="preserve">Органом </w:t>
      </w:r>
      <w:r w:rsidRPr="004446A7">
        <w:rPr>
          <w:rFonts w:ascii="Times New Roman" w:hAnsi="Times New Roman" w:cs="Times New Roman"/>
          <w:sz w:val="28"/>
          <w:szCs w:val="28"/>
        </w:rPr>
        <w:t xml:space="preserve">с целью удовлетворения своих потребностей. </w:t>
      </w:r>
    </w:p>
    <w:p w:rsidR="00A145DA" w:rsidRPr="004446A7" w:rsidRDefault="003309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6A7">
        <w:rPr>
          <w:rFonts w:ascii="Times New Roman" w:hAnsi="Times New Roman" w:cs="Times New Roman"/>
          <w:sz w:val="28"/>
          <w:szCs w:val="28"/>
        </w:rPr>
        <w:t xml:space="preserve">внешний клиент – граждане Российской Федерации, лица без гражданства, лица с двойным гражданством, иностранные граждане, в том числе </w:t>
      </w:r>
      <w:proofErr w:type="spellStart"/>
      <w:r w:rsidRPr="004446A7">
        <w:rPr>
          <w:rFonts w:ascii="Times New Roman" w:hAnsi="Times New Roman" w:cs="Times New Roman"/>
          <w:sz w:val="28"/>
          <w:szCs w:val="28"/>
        </w:rPr>
        <w:t>самозанятые</w:t>
      </w:r>
      <w:proofErr w:type="spellEnd"/>
      <w:r w:rsidRPr="004446A7">
        <w:rPr>
          <w:rFonts w:ascii="Times New Roman" w:hAnsi="Times New Roman" w:cs="Times New Roman"/>
          <w:sz w:val="28"/>
          <w:szCs w:val="28"/>
        </w:rPr>
        <w:t xml:space="preserve">, индивидуальные предприниматели, объединения граждан, не зарегистрированные в качестве юридических лиц, юридические лица, государственные гражданские и муниципальные служащие иных органов власти и органов местного самоуправления области, сотрудники бюджетных учреждений области. </w:t>
      </w:r>
    </w:p>
    <w:p w:rsidR="00A145DA" w:rsidRPr="004446A7" w:rsidRDefault="003309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6A7">
        <w:rPr>
          <w:rFonts w:ascii="Times New Roman" w:hAnsi="Times New Roman" w:cs="Times New Roman"/>
          <w:sz w:val="28"/>
          <w:szCs w:val="28"/>
        </w:rPr>
        <w:t xml:space="preserve">внутренний клиент – муниципальный служащий, работник </w:t>
      </w:r>
      <w:r w:rsidR="00F47B84">
        <w:rPr>
          <w:rFonts w:ascii="Times New Roman" w:hAnsi="Times New Roman" w:cs="Times New Roman"/>
          <w:sz w:val="28"/>
          <w:szCs w:val="28"/>
        </w:rPr>
        <w:t>Органа</w:t>
      </w:r>
      <w:r w:rsidRPr="004446A7">
        <w:rPr>
          <w:rFonts w:ascii="Times New Roman" w:hAnsi="Times New Roman" w:cs="Times New Roman"/>
          <w:sz w:val="28"/>
          <w:szCs w:val="28"/>
        </w:rPr>
        <w:t>, работник муниципального учреждения.</w:t>
      </w:r>
    </w:p>
    <w:p w:rsidR="00A145DA" w:rsidRPr="004446A7" w:rsidRDefault="003309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6A7">
        <w:rPr>
          <w:rFonts w:ascii="Times New Roman" w:hAnsi="Times New Roman" w:cs="Times New Roman"/>
          <w:sz w:val="28"/>
          <w:szCs w:val="28"/>
        </w:rPr>
        <w:t xml:space="preserve">инструментарий - выстроенные в логической последовательности вопросы, позволяющие проводить оценку уровня внешних и внутренних клиентов. </w:t>
      </w:r>
    </w:p>
    <w:p w:rsidR="00A145DA" w:rsidRPr="004446A7" w:rsidRDefault="003309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6A7">
        <w:rPr>
          <w:rFonts w:ascii="Times New Roman" w:hAnsi="Times New Roman" w:cs="Times New Roman"/>
          <w:sz w:val="28"/>
          <w:szCs w:val="28"/>
        </w:rPr>
        <w:t xml:space="preserve">онлайн опрос - метод сбора информации, предусматривающий использование информационно-телекоммуникационной сети «Интернет», с целью обеспечения коммуникации (мобильное приложение, официальный сайт, социальная сеть, мессенджер, консультационная линия). </w:t>
      </w:r>
    </w:p>
    <w:p w:rsidR="00A145DA" w:rsidRPr="004446A7" w:rsidRDefault="003309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6A7">
        <w:rPr>
          <w:rFonts w:ascii="Times New Roman" w:hAnsi="Times New Roman" w:cs="Times New Roman"/>
          <w:sz w:val="28"/>
          <w:szCs w:val="28"/>
        </w:rPr>
        <w:lastRenderedPageBreak/>
        <w:t xml:space="preserve">офлайн опрос – метод сбора информации, предусматривающий непосредственное личное взаимодействие с респондентами, с целью обеспечения получения обратной связи вне зависимости от каналов получения ими информации (личный прием, в местах длительного пребывания клиентов, направление бумажных писем и т.д.). </w:t>
      </w:r>
    </w:p>
    <w:p w:rsidR="00A145DA" w:rsidRPr="004446A7" w:rsidRDefault="003309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46A7">
        <w:rPr>
          <w:rFonts w:ascii="Times New Roman" w:hAnsi="Times New Roman" w:cs="Times New Roman"/>
          <w:sz w:val="28"/>
          <w:szCs w:val="28"/>
        </w:rPr>
        <w:t xml:space="preserve">респондент - лицо, от которого собираются данные. </w:t>
      </w:r>
    </w:p>
    <w:p w:rsidR="00A145DA" w:rsidRPr="004446A7" w:rsidRDefault="0033097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446A7">
        <w:rPr>
          <w:rFonts w:ascii="Times New Roman" w:eastAsia="PT Astra Serif" w:hAnsi="Times New Roman" w:cs="Times New Roman"/>
          <w:iCs/>
          <w:color w:val="000000" w:themeColor="text1"/>
          <w:sz w:val="28"/>
          <w:szCs w:val="28"/>
        </w:rPr>
        <w:t>реинжиниринг</w:t>
      </w: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 xml:space="preserve"> - деятельность, основанная на методологии и технологиях, направленная на реформирование, проектирование или перепроектирование услуг в целях оптимизации деятельности </w:t>
      </w:r>
      <w:r w:rsidR="00CF15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>Органа</w:t>
      </w: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 xml:space="preserve">, для обеспечения соответствия предоставляемых услуг требованиям Стандартов </w:t>
      </w:r>
      <w:proofErr w:type="spellStart"/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>клиентоцентричности</w:t>
      </w:r>
      <w:proofErr w:type="spellEnd"/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>.</w:t>
      </w:r>
    </w:p>
    <w:p w:rsidR="00A145DA" w:rsidRPr="004446A7" w:rsidRDefault="00A145DA">
      <w:pPr>
        <w:pStyle w:val="afe"/>
        <w:spacing w:line="240" w:lineRule="auto"/>
        <w:ind w:firstLine="709"/>
        <w:rPr>
          <w:rFonts w:eastAsia="PT Astra Serif"/>
          <w:color w:val="000000"/>
        </w:rPr>
      </w:pPr>
    </w:p>
    <w:p w:rsidR="00A145DA" w:rsidRPr="004446A7" w:rsidRDefault="0033097A">
      <w:pPr>
        <w:pStyle w:val="Default"/>
        <w:numPr>
          <w:ilvl w:val="0"/>
          <w:numId w:val="2"/>
        </w:numPr>
        <w:jc w:val="center"/>
        <w:rPr>
          <w:rFonts w:ascii="Times New Roman" w:hAnsi="Times New Roman" w:cs="Times New Roman"/>
        </w:rPr>
      </w:pPr>
      <w:r w:rsidRPr="004446A7">
        <w:rPr>
          <w:rFonts w:ascii="Times New Roman" w:eastAsia="PT Astra Serif" w:hAnsi="Times New Roman" w:cs="Times New Roman"/>
          <w:b/>
          <w:bCs/>
          <w:color w:val="000000" w:themeColor="text1"/>
          <w:sz w:val="28"/>
          <w:szCs w:val="28"/>
        </w:rPr>
        <w:t>Организация системы сбора и анализа обратной связи</w:t>
      </w:r>
    </w:p>
    <w:p w:rsidR="00A145DA" w:rsidRPr="004446A7" w:rsidRDefault="00A145DA">
      <w:pPr>
        <w:pStyle w:val="Default"/>
        <w:ind w:firstLine="709"/>
        <w:jc w:val="both"/>
        <w:rPr>
          <w:rFonts w:ascii="Times New Roman" w:eastAsia="PT Astra Serif" w:hAnsi="Times New Roman" w:cs="Times New Roman"/>
          <w:b/>
          <w:bCs/>
          <w:sz w:val="28"/>
          <w:szCs w:val="28"/>
        </w:rPr>
      </w:pPr>
    </w:p>
    <w:p w:rsidR="00A145DA" w:rsidRPr="004446A7" w:rsidRDefault="0033097A">
      <w:pPr>
        <w:pStyle w:val="afd"/>
        <w:spacing w:before="0" w:after="0"/>
        <w:ind w:firstLine="709"/>
        <w:jc w:val="both"/>
      </w:pPr>
      <w:r w:rsidRPr="004446A7">
        <w:rPr>
          <w:rStyle w:val="fontstyle01"/>
          <w:rFonts w:ascii="Times New Roman" w:eastAsia="PT Astra Serif" w:hAnsi="Times New Roman"/>
          <w:color w:val="000000" w:themeColor="text1"/>
        </w:rPr>
        <w:t xml:space="preserve">Система сбора и анализа обратной связи </w:t>
      </w:r>
      <w:r w:rsidRPr="004446A7">
        <w:rPr>
          <w:rFonts w:eastAsia="PT Astra Serif"/>
          <w:color w:val="000000" w:themeColor="text1"/>
          <w:sz w:val="28"/>
          <w:szCs w:val="28"/>
        </w:rPr>
        <w:t>(далее — система обратной связи)</w:t>
      </w:r>
      <w:r w:rsidRPr="004446A7">
        <w:rPr>
          <w:rStyle w:val="fontstyle01"/>
          <w:rFonts w:ascii="Times New Roman" w:eastAsia="PT Astra Serif" w:hAnsi="Times New Roman"/>
          <w:color w:val="000000" w:themeColor="text1"/>
        </w:rPr>
        <w:t xml:space="preserve"> является инструментом, направленным на оценку качества взаимодействия клиентов с </w:t>
      </w:r>
      <w:r w:rsidR="00457331" w:rsidRPr="004446A7">
        <w:rPr>
          <w:rFonts w:eastAsia="PT Astra Serif"/>
          <w:color w:val="000000" w:themeColor="text1"/>
          <w:sz w:val="28"/>
          <w:szCs w:val="28"/>
        </w:rPr>
        <w:t>Органом</w:t>
      </w:r>
      <w:r w:rsidRPr="004446A7">
        <w:rPr>
          <w:rFonts w:eastAsia="PT Astra Serif"/>
          <w:color w:val="000000" w:themeColor="text1"/>
          <w:sz w:val="28"/>
          <w:szCs w:val="28"/>
        </w:rPr>
        <w:t xml:space="preserve"> </w:t>
      </w:r>
      <w:r w:rsidRPr="004446A7">
        <w:rPr>
          <w:rStyle w:val="fontstyle01"/>
          <w:rFonts w:ascii="Times New Roman" w:eastAsia="PT Astra Serif" w:hAnsi="Times New Roman"/>
          <w:color w:val="000000" w:themeColor="text1"/>
        </w:rPr>
        <w:t>через сбор, агрегацию и анализ субъективных данных, полученных от внешних и внутренних клиентов.</w:t>
      </w:r>
    </w:p>
    <w:p w:rsidR="00A145DA" w:rsidRPr="004446A7" w:rsidRDefault="0033097A">
      <w:pPr>
        <w:pStyle w:val="af9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>Цель формирования системы обратной связи – получение единой и сравнимой информации о качестве всех взаимодействий клиентов с </w:t>
      </w:r>
      <w:r w:rsidR="00457331"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>Органом</w:t>
      </w: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>, об их удовлетворённости взаимодействием.</w:t>
      </w:r>
    </w:p>
    <w:p w:rsidR="00A145DA" w:rsidRPr="004446A7" w:rsidRDefault="0033097A">
      <w:pPr>
        <w:pStyle w:val="ae"/>
        <w:spacing w:after="0" w:line="240" w:lineRule="auto"/>
        <w:ind w:firstLine="709"/>
        <w:jc w:val="both"/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</w:pP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 xml:space="preserve">Система обратной связи является инструментом, направленным на оценку качества взаимодействия клиентов с </w:t>
      </w:r>
      <w:r w:rsidR="00457331"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>Органом</w:t>
      </w: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 xml:space="preserve"> и подведомственными организациями через сбор, агрегацию и анализ субъективных данных, полученных от внешних и внутренних клиентов. </w:t>
      </w:r>
    </w:p>
    <w:p w:rsidR="00A145DA" w:rsidRPr="004446A7" w:rsidRDefault="0033097A">
      <w:pPr>
        <w:pStyle w:val="ae"/>
        <w:spacing w:after="0" w:line="240" w:lineRule="auto"/>
        <w:ind w:firstLine="709"/>
        <w:jc w:val="both"/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</w:pP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 xml:space="preserve">Система обратной связи служит для выявления отношения клиентов к деятельности </w:t>
      </w:r>
      <w:r w:rsidR="00457331"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>Органа</w:t>
      </w: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 xml:space="preserve"> по следующим направлениям: </w:t>
      </w:r>
    </w:p>
    <w:p w:rsidR="00A145DA" w:rsidRPr="004446A7" w:rsidRDefault="0033097A">
      <w:pPr>
        <w:pStyle w:val="ae"/>
        <w:spacing w:after="0" w:line="240" w:lineRule="auto"/>
        <w:ind w:firstLine="709"/>
        <w:jc w:val="both"/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</w:pP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 xml:space="preserve">1) для внешнего клиента: </w:t>
      </w:r>
    </w:p>
    <w:p w:rsidR="00A145DA" w:rsidRPr="004446A7" w:rsidRDefault="0033097A">
      <w:pPr>
        <w:pStyle w:val="ae"/>
        <w:spacing w:after="0" w:line="240" w:lineRule="auto"/>
        <w:ind w:firstLine="709"/>
        <w:jc w:val="both"/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</w:pP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>- предоставление муниципальных услуг;</w:t>
      </w:r>
    </w:p>
    <w:p w:rsidR="00A145DA" w:rsidRPr="004446A7" w:rsidRDefault="0033097A">
      <w:pPr>
        <w:pStyle w:val="ae"/>
        <w:spacing w:after="0" w:line="240" w:lineRule="auto"/>
        <w:ind w:firstLine="709"/>
        <w:jc w:val="both"/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</w:pP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>- обращения, запросы;</w:t>
      </w:r>
    </w:p>
    <w:p w:rsidR="00A145DA" w:rsidRPr="004446A7" w:rsidRDefault="0033097A">
      <w:pPr>
        <w:pStyle w:val="ae"/>
        <w:spacing w:after="0" w:line="240" w:lineRule="auto"/>
        <w:ind w:firstLine="709"/>
        <w:jc w:val="both"/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</w:pP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 xml:space="preserve">- доступ к информации о деятельности </w:t>
      </w:r>
      <w:r w:rsidR="00457331"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>Органа</w:t>
      </w: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 xml:space="preserve"> и подведомственных организаций; </w:t>
      </w:r>
    </w:p>
    <w:p w:rsidR="00A145DA" w:rsidRPr="004446A7" w:rsidRDefault="0033097A">
      <w:pPr>
        <w:pStyle w:val="ae"/>
        <w:spacing w:after="0" w:line="240" w:lineRule="auto"/>
        <w:ind w:firstLine="709"/>
        <w:jc w:val="both"/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</w:pP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>- муниципальный контроль.</w:t>
      </w:r>
    </w:p>
    <w:p w:rsidR="00A145DA" w:rsidRPr="004446A7" w:rsidRDefault="0033097A">
      <w:pPr>
        <w:pStyle w:val="ae"/>
        <w:spacing w:after="0" w:line="240" w:lineRule="auto"/>
        <w:ind w:firstLine="709"/>
        <w:jc w:val="both"/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</w:pP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 xml:space="preserve">2) для внутреннего клиента: </w:t>
      </w:r>
    </w:p>
    <w:p w:rsidR="00A145DA" w:rsidRPr="004446A7" w:rsidRDefault="0033097A">
      <w:pPr>
        <w:pStyle w:val="ae"/>
        <w:spacing w:after="0" w:line="240" w:lineRule="auto"/>
        <w:ind w:firstLine="709"/>
        <w:jc w:val="both"/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</w:pP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>- внутри- и межведомственное взаимодействие;</w:t>
      </w:r>
    </w:p>
    <w:p w:rsidR="00A145DA" w:rsidRPr="004446A7" w:rsidRDefault="0033097A">
      <w:pPr>
        <w:pStyle w:val="ae"/>
        <w:spacing w:after="0" w:line="240" w:lineRule="auto"/>
        <w:ind w:firstLine="709"/>
        <w:jc w:val="both"/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</w:pP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 xml:space="preserve">- выполнение запросов; </w:t>
      </w:r>
    </w:p>
    <w:p w:rsidR="00A145DA" w:rsidRPr="004446A7" w:rsidRDefault="0033097A">
      <w:pPr>
        <w:pStyle w:val="ae"/>
        <w:spacing w:after="0" w:line="240" w:lineRule="auto"/>
        <w:ind w:firstLine="709"/>
        <w:jc w:val="both"/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</w:pP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 xml:space="preserve">- организация договорной работы (участие в процессах по оформлению и исполнению договоров); </w:t>
      </w:r>
    </w:p>
    <w:p w:rsidR="00A145DA" w:rsidRPr="004446A7" w:rsidRDefault="0033097A">
      <w:pPr>
        <w:pStyle w:val="ae"/>
        <w:spacing w:after="0" w:line="240" w:lineRule="auto"/>
        <w:ind w:firstLine="709"/>
        <w:jc w:val="both"/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</w:pP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 xml:space="preserve">- организация нормотворческой деятельности (участие в процессах по нормотворчеству); </w:t>
      </w:r>
    </w:p>
    <w:p w:rsidR="00A145DA" w:rsidRPr="004446A7" w:rsidRDefault="0033097A">
      <w:pPr>
        <w:pStyle w:val="ae"/>
        <w:spacing w:after="0" w:line="240" w:lineRule="auto"/>
        <w:ind w:firstLine="709"/>
        <w:jc w:val="both"/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</w:pP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>- отдельные кадровые процессы (адаптация, обучение и др.);</w:t>
      </w:r>
    </w:p>
    <w:p w:rsidR="00A145DA" w:rsidRPr="004446A7" w:rsidRDefault="0033097A">
      <w:pPr>
        <w:pStyle w:val="ae"/>
        <w:spacing w:after="0" w:line="240" w:lineRule="auto"/>
        <w:ind w:firstLine="709"/>
        <w:jc w:val="both"/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</w:pP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>- осуществление административно-хозяйственной деятельности;</w:t>
      </w:r>
    </w:p>
    <w:p w:rsidR="00A145DA" w:rsidRPr="004446A7" w:rsidRDefault="0033097A">
      <w:pPr>
        <w:pStyle w:val="ae"/>
        <w:spacing w:after="0" w:line="240" w:lineRule="auto"/>
        <w:ind w:firstLine="709"/>
        <w:jc w:val="both"/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</w:pP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 xml:space="preserve">- ведение бухгалтерского учёта; </w:t>
      </w:r>
    </w:p>
    <w:p w:rsidR="00A145DA" w:rsidRPr="004446A7" w:rsidRDefault="0033097A">
      <w:pPr>
        <w:pStyle w:val="ae"/>
        <w:spacing w:after="0" w:line="240" w:lineRule="auto"/>
        <w:ind w:firstLine="709"/>
        <w:jc w:val="both"/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</w:pP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>- материально-техническое оснащение.</w:t>
      </w:r>
    </w:p>
    <w:p w:rsidR="00A145DA" w:rsidRPr="004446A7" w:rsidRDefault="0033097A">
      <w:pPr>
        <w:pStyle w:val="ae"/>
        <w:spacing w:after="0" w:line="240" w:lineRule="auto"/>
        <w:ind w:firstLine="709"/>
        <w:jc w:val="both"/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</w:pP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lastRenderedPageBreak/>
        <w:t xml:space="preserve">Источниками обратной связи являются обращения и жалобы, поступающие в </w:t>
      </w:r>
      <w:r w:rsidR="00457331"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 xml:space="preserve">Орган </w:t>
      </w: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>напрямую, а также данные социологических исследований.</w:t>
      </w:r>
    </w:p>
    <w:p w:rsidR="00A145DA" w:rsidRPr="004446A7" w:rsidRDefault="0033097A">
      <w:pPr>
        <w:pStyle w:val="ae"/>
        <w:spacing w:after="0" w:line="240" w:lineRule="auto"/>
        <w:ind w:firstLine="709"/>
        <w:jc w:val="both"/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</w:pP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 xml:space="preserve">Социологические исследования осуществляются путем проведения офлайн и онлайн опросов, контент-анализа средств массовой информации и социальных сетей, качественного анализа обращений граждан. </w:t>
      </w:r>
    </w:p>
    <w:p w:rsidR="00A145DA" w:rsidRPr="004446A7" w:rsidRDefault="0033097A">
      <w:pPr>
        <w:pStyle w:val="ae"/>
        <w:spacing w:after="0" w:line="240" w:lineRule="auto"/>
        <w:ind w:firstLine="709"/>
        <w:jc w:val="both"/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</w:pP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>Сбор обратной связи осуществляется во всех каналах связи, в которых происходит взаимодействие с клиентом (офлайн и онлайн точках взаимодействия).</w:t>
      </w:r>
    </w:p>
    <w:p w:rsidR="00A145DA" w:rsidRPr="004446A7" w:rsidRDefault="0033097A">
      <w:pPr>
        <w:pStyle w:val="ae"/>
        <w:spacing w:after="0" w:line="240" w:lineRule="auto"/>
        <w:ind w:firstLine="709"/>
        <w:jc w:val="both"/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</w:pP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>В местах получения услуг (точках взаимодействия) должна быть обеспечена возможность постоянного сбора обратной связи. При необходимости постоянный сбор обратной связи может быть дополнен разовым сбором (например, с целью более подробного исследования проблем, выявленных по результатам постоянного сбора).</w:t>
      </w:r>
    </w:p>
    <w:p w:rsidR="00A145DA" w:rsidRPr="004446A7" w:rsidRDefault="0033097A">
      <w:pPr>
        <w:spacing w:after="0"/>
        <w:ind w:firstLine="709"/>
        <w:jc w:val="both"/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</w:pP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>Клиенту предоставляется информация об использовании полученной от него обратной связи. Обобщенные данные обратной связи, а также принятые на их основе решения</w:t>
      </w:r>
      <w:r w:rsidR="00457331"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 xml:space="preserve"> Органа</w:t>
      </w: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 xml:space="preserve"> должны быть доступны неограниченному кругу клиентов. </w:t>
      </w:r>
    </w:p>
    <w:p w:rsidR="00A145DA" w:rsidRPr="004446A7" w:rsidRDefault="00457331">
      <w:pPr>
        <w:spacing w:after="0"/>
        <w:ind w:firstLine="709"/>
        <w:jc w:val="both"/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</w:pP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>Орган</w:t>
      </w:r>
      <w:r w:rsidR="0033097A"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 xml:space="preserve"> определяет формы и методы размещения </w:t>
      </w:r>
      <w:proofErr w:type="gramStart"/>
      <w:r w:rsidR="0033097A"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>информации</w:t>
      </w:r>
      <w:proofErr w:type="gramEnd"/>
      <w:r w:rsidR="0033097A"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 xml:space="preserve"> об использовании полученной от клиента обратной связи, периодичность размещения, критерии и перечень информации, не размещаемой в общем доступе. </w:t>
      </w:r>
    </w:p>
    <w:p w:rsidR="00A145DA" w:rsidRPr="004446A7" w:rsidRDefault="0033097A">
      <w:pPr>
        <w:spacing w:after="0"/>
        <w:ind w:firstLine="709"/>
        <w:jc w:val="both"/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</w:pP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 xml:space="preserve">На официальном сайте </w:t>
      </w:r>
      <w:r w:rsidR="00457331"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>Органа</w:t>
      </w: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 xml:space="preserve"> обеспечивается: </w:t>
      </w:r>
    </w:p>
    <w:p w:rsidR="00A145DA" w:rsidRPr="004446A7" w:rsidRDefault="0033097A">
      <w:pPr>
        <w:spacing w:after="0"/>
        <w:ind w:firstLine="709"/>
        <w:jc w:val="both"/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</w:pP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 xml:space="preserve">1) прием обращений </w:t>
      </w:r>
      <w:r w:rsidR="00AE2B24"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>с использованием Платформы обратной связи</w:t>
      </w: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 xml:space="preserve">;  </w:t>
      </w:r>
    </w:p>
    <w:p w:rsidR="00A145DA" w:rsidRPr="004446A7" w:rsidRDefault="0033097A">
      <w:pPr>
        <w:spacing w:after="0"/>
        <w:ind w:firstLine="709"/>
        <w:jc w:val="both"/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</w:pP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 xml:space="preserve">2) проведение опросов (в </w:t>
      </w:r>
      <w:proofErr w:type="spellStart"/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>т.ч</w:t>
      </w:r>
      <w:proofErr w:type="spellEnd"/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>. с использованием Платформы обратной связи и иных интерактивных форм инструментов, позволяющих проводить опросы анонимно).</w:t>
      </w:r>
    </w:p>
    <w:p w:rsidR="00A145DA" w:rsidRPr="004446A7" w:rsidRDefault="00A145DA">
      <w:pPr>
        <w:pStyle w:val="ae"/>
        <w:spacing w:after="0" w:line="240" w:lineRule="auto"/>
        <w:ind w:firstLine="709"/>
        <w:jc w:val="both"/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</w:pPr>
    </w:p>
    <w:p w:rsidR="00A145DA" w:rsidRPr="004446A7" w:rsidRDefault="0033097A">
      <w:pPr>
        <w:pStyle w:val="ae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4446A7">
        <w:rPr>
          <w:rFonts w:ascii="Times New Roman" w:eastAsia="PT Astra Serif" w:hAnsi="Times New Roman" w:cs="Times New Roman"/>
          <w:b/>
          <w:bCs/>
          <w:color w:val="000000" w:themeColor="text1"/>
          <w:sz w:val="28"/>
          <w:szCs w:val="28"/>
        </w:rPr>
        <w:t>4. Анализ информации и принятие решений</w:t>
      </w:r>
    </w:p>
    <w:p w:rsidR="00A145DA" w:rsidRPr="004446A7" w:rsidRDefault="00A145DA">
      <w:pPr>
        <w:pStyle w:val="Default"/>
        <w:ind w:firstLine="709"/>
        <w:jc w:val="both"/>
        <w:rPr>
          <w:rFonts w:ascii="Times New Roman" w:eastAsia="PT Astra Serif" w:hAnsi="Times New Roman" w:cs="Times New Roman"/>
          <w:b/>
          <w:bCs/>
          <w:sz w:val="28"/>
          <w:szCs w:val="28"/>
        </w:rPr>
      </w:pPr>
    </w:p>
    <w:p w:rsidR="00A145DA" w:rsidRPr="004446A7" w:rsidRDefault="00330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Анализ информации проводится с целью выявления как общего уровня удовлетворенности услугой или иным видом взаимодействия, так и отдельными параметрами такого взаимодействия с внутренними и внешними клиентами. </w:t>
      </w:r>
    </w:p>
    <w:p w:rsidR="00A145DA" w:rsidRPr="004446A7" w:rsidRDefault="00330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Результаты сбора обратной связи, полученной по результатам исследований (опросов), подлежат обобщению и анализу от 1 раза в месяц до 1 раза в квартал в зависимости от объема собираемой обратной связи. </w:t>
      </w:r>
    </w:p>
    <w:p w:rsidR="00A145DA" w:rsidRPr="004446A7" w:rsidRDefault="00330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В отдельных случаях при выявлении значительного числа негативной обратной связи, высокого уровня неудовлетворенности, конкретных «болей» проводится дополнительный ежеквартальный сбор обратной связи от клиентов. Для проведения дополнительного сбора обратной связи определяются генеральная и выборочная совокупности. </w:t>
      </w:r>
    </w:p>
    <w:p w:rsidR="00A145DA" w:rsidRPr="004446A7" w:rsidRDefault="00330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 xml:space="preserve">Мониторинг поступивших в </w:t>
      </w:r>
      <w:r w:rsidR="00B01391"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Орган</w:t>
      </w: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и подведомственные организации обращений и жалоб проводится по следующим критериям: </w:t>
      </w:r>
    </w:p>
    <w:p w:rsidR="00A145DA" w:rsidRPr="004446A7" w:rsidRDefault="00330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- количество обращений и жалоб, поступивших по всем каналам взаимодействия с указанием доли по различным каналам; </w:t>
      </w:r>
    </w:p>
    <w:p w:rsidR="00A145DA" w:rsidRPr="004446A7" w:rsidRDefault="00330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- основные причины обращений; </w:t>
      </w:r>
    </w:p>
    <w:p w:rsidR="00A145DA" w:rsidRPr="004446A7" w:rsidRDefault="00330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- количество обращений по тематике (в соответствии с классификатором);</w:t>
      </w:r>
    </w:p>
    <w:p w:rsidR="00A145DA" w:rsidRPr="004446A7" w:rsidRDefault="00330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- время ожидания ответа (время, прошедшее с момента регистрации обращения, жалобы до момента ответа пользователю);</w:t>
      </w:r>
    </w:p>
    <w:p w:rsidR="00A145DA" w:rsidRPr="004446A7" w:rsidRDefault="00330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- количество и доля удовлетворенных жалоб (количество жалоб с положительным результатом решения проблемы и доля от числа всех поступивших за квартал жалоб); </w:t>
      </w:r>
    </w:p>
    <w:p w:rsidR="00A145DA" w:rsidRPr="004446A7" w:rsidRDefault="00330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- количество и доля неудовлетворенных жалоб (количество жалоб, получивших отказ, и доля от числа всех поступивших за квартал жалоб). </w:t>
      </w:r>
    </w:p>
    <w:p w:rsidR="00A145DA" w:rsidRPr="004446A7" w:rsidRDefault="00330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Сбор информации по данным показателям ведется постоянно, анализ проводится 1 раз в квартал. Информация носит внутриведомственный характер и не подлежит опубликованию. На основе ежеквартального анализа обращений и жалоб формируется «карта болей» (Приложение </w:t>
      </w:r>
      <w:r w:rsidR="007B238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№ 1</w:t>
      </w: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), разрабатываются мероприятия по реинжинирингу, готовятся новые инструктивные материалы для сотрудников и разъяснения для заявителей. </w:t>
      </w:r>
    </w:p>
    <w:p w:rsidR="00A145DA" w:rsidRPr="004446A7" w:rsidRDefault="00330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В результате анализа обратной связи формируется «карта болей» клиента в разрезе каждого процесса, которые могут группироваться (по точке обращения, группе процесса: по муниципальным услугам, получаемым в электронном виде). «Боль клиента» - это не только проблемы, которые клиент испытал при взаимодействии с </w:t>
      </w:r>
      <w:r w:rsidR="00B01391"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Органом</w:t>
      </w: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но и те потребности клиента, которые </w:t>
      </w:r>
      <w:r w:rsidR="00B01391"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Орган</w:t>
      </w: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может решить, изменив некоторые процессы своей деятельности (например, создать дополнительный сервис, перевести услугу в режим </w:t>
      </w:r>
      <w:proofErr w:type="spellStart"/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проактивного</w:t>
      </w:r>
      <w:proofErr w:type="spellEnd"/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предоставления). </w:t>
      </w:r>
    </w:p>
    <w:p w:rsidR="00A145DA" w:rsidRPr="004446A7" w:rsidRDefault="00330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Все выявленные «боли» подлежат включению «в карту болей». </w:t>
      </w:r>
    </w:p>
    <w:p w:rsidR="00A145DA" w:rsidRPr="004446A7" w:rsidRDefault="00330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В «карте болей» отражаются: </w:t>
      </w:r>
    </w:p>
    <w:p w:rsidR="00A145DA" w:rsidRPr="004446A7" w:rsidRDefault="00330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- наименование процесса;</w:t>
      </w:r>
    </w:p>
    <w:p w:rsidR="00A145DA" w:rsidRPr="004446A7" w:rsidRDefault="00330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- выявленные проблемы/потенциальные потребности клиентов;</w:t>
      </w:r>
    </w:p>
    <w:p w:rsidR="00A145DA" w:rsidRPr="004446A7" w:rsidRDefault="00330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- распространенность проблемы;</w:t>
      </w:r>
    </w:p>
    <w:p w:rsidR="00A145DA" w:rsidRPr="004446A7" w:rsidRDefault="00330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- приоритетность решения проблемы/ удовлетворённость потребности - единица измерения и метод оценки в зависимости от особенностей услуги или иного вида взаимодействия;</w:t>
      </w:r>
    </w:p>
    <w:p w:rsidR="00A145DA" w:rsidRPr="004446A7" w:rsidRDefault="00330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- необходимые к реализации мероприятия (мероприятия по реинжинирингу);</w:t>
      </w:r>
    </w:p>
    <w:p w:rsidR="00A145DA" w:rsidRPr="004446A7" w:rsidRDefault="00330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- ответственный;</w:t>
      </w:r>
    </w:p>
    <w:p w:rsidR="00A145DA" w:rsidRPr="004446A7" w:rsidRDefault="00330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- срок реализации.</w:t>
      </w:r>
    </w:p>
    <w:p w:rsidR="00A145DA" w:rsidRPr="004446A7" w:rsidRDefault="00330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Результаты анализа собранной обратной связи рассматриваются в целях принятия решений. </w:t>
      </w:r>
    </w:p>
    <w:p w:rsidR="00A145DA" w:rsidRPr="004446A7" w:rsidRDefault="00330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Результаты анализа собранной обратной связи используются для проектирования и реинжиниринга муниципальных услуг и иных видов </w:t>
      </w: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 xml:space="preserve">взаимодействия (процессов) в </w:t>
      </w:r>
      <w:r w:rsidR="00B01391"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Органе </w:t>
      </w: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в целях повышения качества клиентского опыта </w:t>
      </w:r>
      <w:proofErr w:type="gramStart"/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для</w:t>
      </w:r>
      <w:proofErr w:type="gramEnd"/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: </w:t>
      </w:r>
    </w:p>
    <w:p w:rsidR="00A145DA" w:rsidRPr="004446A7" w:rsidRDefault="00330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а) создания или доработки подсистем, сервисов и компонентов официальных сайтов, информационных систем </w:t>
      </w:r>
      <w:r w:rsidR="00B01391"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Органа</w:t>
      </w: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; </w:t>
      </w:r>
    </w:p>
    <w:p w:rsidR="00A145DA" w:rsidRPr="004446A7" w:rsidRDefault="00330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б) принятия и изменения нормативных правовых документов </w:t>
      </w:r>
      <w:r w:rsidR="00B01391"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Органа</w:t>
      </w: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:rsidR="00A145DA" w:rsidRPr="004446A7" w:rsidRDefault="00A145DA">
      <w:pPr>
        <w:pStyle w:val="af9"/>
        <w:spacing w:after="0" w:line="240" w:lineRule="auto"/>
        <w:ind w:left="0" w:firstLine="709"/>
        <w:contextualSpacing w:val="0"/>
        <w:jc w:val="both"/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</w:pPr>
    </w:p>
    <w:p w:rsidR="00A145DA" w:rsidRPr="004446A7" w:rsidRDefault="00A145DA">
      <w:pPr>
        <w:pStyle w:val="Defaul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45DA" w:rsidRPr="004446A7" w:rsidRDefault="0033097A">
      <w:pPr>
        <w:pStyle w:val="Defaul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46A7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8"/>
        </w:rPr>
        <w:t>5. Особенности внутренней обратной связи</w:t>
      </w:r>
    </w:p>
    <w:p w:rsidR="00A145DA" w:rsidRPr="004446A7" w:rsidRDefault="00A145DA">
      <w:pPr>
        <w:pStyle w:val="Default"/>
        <w:ind w:firstLine="709"/>
        <w:jc w:val="both"/>
        <w:rPr>
          <w:rFonts w:ascii="Times New Roman" w:eastAsia="PT Astra Serif" w:hAnsi="Times New Roman" w:cs="Times New Roman"/>
          <w:b/>
          <w:sz w:val="28"/>
          <w:szCs w:val="28"/>
        </w:rPr>
      </w:pPr>
    </w:p>
    <w:p w:rsidR="00A145DA" w:rsidRPr="004446A7" w:rsidRDefault="00330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Система обратной связи включает в себя сбор обратной связи от работников </w:t>
      </w:r>
      <w:r w:rsidR="00B01391"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Органа</w:t>
      </w: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целью которой является оценка уровня удовлетворенности работников различными аспектами деятельности </w:t>
      </w:r>
      <w:r w:rsidR="00B01391"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Органа</w:t>
      </w: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для повышения уровня его </w:t>
      </w:r>
      <w:proofErr w:type="spellStart"/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клиентоцентричности</w:t>
      </w:r>
      <w:proofErr w:type="spellEnd"/>
      <w:r w:rsidR="004446A7"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</w:p>
    <w:p w:rsidR="00A145DA" w:rsidRPr="004446A7" w:rsidRDefault="00330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Для оценки уровня удовлетворенности различными аспектами деятельности применяется специализированный инструментарий, который позволяет собрать обратную связь в отношении следующих аспектов: </w:t>
      </w:r>
    </w:p>
    <w:p w:rsidR="00A145DA" w:rsidRPr="004446A7" w:rsidRDefault="0033097A">
      <w:pPr>
        <w:pStyle w:val="ae"/>
        <w:spacing w:after="0" w:line="240" w:lineRule="auto"/>
        <w:ind w:firstLine="709"/>
        <w:jc w:val="both"/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</w:pP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>- внутри- и межведомственное взаимодействие;</w:t>
      </w:r>
    </w:p>
    <w:p w:rsidR="00A145DA" w:rsidRPr="004446A7" w:rsidRDefault="0033097A">
      <w:pPr>
        <w:pStyle w:val="ae"/>
        <w:spacing w:after="0" w:line="240" w:lineRule="auto"/>
        <w:ind w:firstLine="709"/>
        <w:jc w:val="both"/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</w:pP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 xml:space="preserve">- выполнение запросов; </w:t>
      </w:r>
    </w:p>
    <w:p w:rsidR="00A145DA" w:rsidRPr="004446A7" w:rsidRDefault="0033097A">
      <w:pPr>
        <w:pStyle w:val="ae"/>
        <w:spacing w:after="0" w:line="240" w:lineRule="auto"/>
        <w:ind w:firstLine="709"/>
        <w:jc w:val="both"/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</w:pP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 xml:space="preserve">- организация договорной работы (участие в процессах по оформлению и исполнению договоров); </w:t>
      </w:r>
    </w:p>
    <w:p w:rsidR="00A145DA" w:rsidRPr="004446A7" w:rsidRDefault="0033097A">
      <w:pPr>
        <w:pStyle w:val="ae"/>
        <w:spacing w:after="0" w:line="240" w:lineRule="auto"/>
        <w:ind w:firstLine="709"/>
        <w:jc w:val="both"/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</w:pP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 xml:space="preserve">- организация нормотворческой деятельности (участие в процессах по нормотворчеству); </w:t>
      </w:r>
    </w:p>
    <w:p w:rsidR="00A145DA" w:rsidRPr="004446A7" w:rsidRDefault="0033097A">
      <w:pPr>
        <w:pStyle w:val="ae"/>
        <w:spacing w:after="0" w:line="240" w:lineRule="auto"/>
        <w:ind w:firstLine="709"/>
        <w:jc w:val="both"/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</w:pP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>- отдельные кадровые процессы (адаптация, обучение и др.);</w:t>
      </w:r>
    </w:p>
    <w:p w:rsidR="00A145DA" w:rsidRPr="004446A7" w:rsidRDefault="0033097A">
      <w:pPr>
        <w:pStyle w:val="ae"/>
        <w:spacing w:after="0" w:line="240" w:lineRule="auto"/>
        <w:ind w:firstLine="709"/>
        <w:jc w:val="both"/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</w:pP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>- осуществление административно-хозяйственной деятельности;</w:t>
      </w:r>
    </w:p>
    <w:p w:rsidR="00A145DA" w:rsidRPr="004446A7" w:rsidRDefault="0033097A">
      <w:pPr>
        <w:pStyle w:val="ae"/>
        <w:spacing w:after="0" w:line="240" w:lineRule="auto"/>
        <w:ind w:firstLine="709"/>
        <w:jc w:val="both"/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</w:pP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 xml:space="preserve">- ведение бухгалтерского учёта; </w:t>
      </w:r>
    </w:p>
    <w:p w:rsidR="00A145DA" w:rsidRPr="004446A7" w:rsidRDefault="0033097A">
      <w:pPr>
        <w:pStyle w:val="ae"/>
        <w:spacing w:after="0" w:line="240" w:lineRule="auto"/>
        <w:ind w:firstLine="709"/>
        <w:jc w:val="both"/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</w:pP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>- материально-техническое оснащение.</w:t>
      </w:r>
    </w:p>
    <w:p w:rsidR="004446A7" w:rsidRPr="004446A7" w:rsidRDefault="004446A7" w:rsidP="004446A7">
      <w:pPr>
        <w:pStyle w:val="ae"/>
        <w:spacing w:after="0" w:line="240" w:lineRule="auto"/>
        <w:ind w:firstLine="709"/>
        <w:jc w:val="both"/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</w:pP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 xml:space="preserve">Примерные формы вопросов для проведения опросов внутренних клиентов приведены в приложении </w:t>
      </w:r>
      <w:r w:rsidR="007B2386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>№ 2 к настоящему Порядку</w:t>
      </w:r>
      <w:r w:rsidRPr="004446A7">
        <w:rPr>
          <w:rFonts w:ascii="Times New Roman" w:eastAsia="PT Astra Serif" w:hAnsi="Times New Roman" w:cs="Times New Roman"/>
          <w:color w:val="000000" w:themeColor="text1"/>
          <w:sz w:val="28"/>
          <w:szCs w:val="28"/>
        </w:rPr>
        <w:t>.</w:t>
      </w:r>
    </w:p>
    <w:p w:rsidR="00A145DA" w:rsidRPr="004446A7" w:rsidRDefault="00330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В рамках системы внутренней обратной связи ежегодно собираются данные об уровне удовлетворенности внутренних клиентов. </w:t>
      </w:r>
    </w:p>
    <w:p w:rsidR="00A145DA" w:rsidRPr="004446A7" w:rsidRDefault="00330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Периодичность внеочередных опросов работников и устанавливается распорядительным документом </w:t>
      </w:r>
      <w:r w:rsidR="00B01391"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Органа</w:t>
      </w: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. </w:t>
      </w:r>
    </w:p>
    <w:p w:rsidR="00A145DA" w:rsidRPr="004446A7" w:rsidRDefault="00330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Работники вправе оставить обратную связь инициативно и анонимно. </w:t>
      </w:r>
    </w:p>
    <w:p w:rsidR="00A145DA" w:rsidRPr="004446A7" w:rsidRDefault="00330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Сбор и анализ обратной связи от внутренних клиентов осуществляет отдел </w:t>
      </w:r>
      <w:r w:rsidR="00B01391"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экономики и инвестиций Органа</w:t>
      </w: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. </w:t>
      </w:r>
    </w:p>
    <w:p w:rsidR="00A145DA" w:rsidRPr="004446A7" w:rsidRDefault="00A145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A145DA" w:rsidRPr="004446A7" w:rsidRDefault="00A145DA">
      <w:pPr>
        <w:pStyle w:val="Default"/>
        <w:ind w:firstLine="709"/>
        <w:jc w:val="center"/>
        <w:rPr>
          <w:rFonts w:ascii="Times New Roman" w:hAnsi="Times New Roman" w:cs="Times New Roman"/>
        </w:rPr>
      </w:pPr>
    </w:p>
    <w:p w:rsidR="00A145DA" w:rsidRPr="004446A7" w:rsidRDefault="0033097A">
      <w:pPr>
        <w:pStyle w:val="Default"/>
        <w:ind w:firstLine="709"/>
        <w:jc w:val="center"/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8"/>
        </w:rPr>
      </w:pPr>
      <w:r w:rsidRPr="004446A7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8"/>
        </w:rPr>
        <w:t>6. Заключительные положения</w:t>
      </w:r>
    </w:p>
    <w:p w:rsidR="00A145DA" w:rsidRPr="004446A7" w:rsidRDefault="00A145DA">
      <w:pPr>
        <w:pStyle w:val="Defaul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45DA" w:rsidRPr="004446A7" w:rsidRDefault="00330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Полученная обратная связь используется: </w:t>
      </w:r>
    </w:p>
    <w:p w:rsidR="00A145DA" w:rsidRPr="004446A7" w:rsidRDefault="00330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- для выявления потребностей клиентов; </w:t>
      </w:r>
    </w:p>
    <w:p w:rsidR="00A145DA" w:rsidRPr="004446A7" w:rsidRDefault="00330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- при внедрении </w:t>
      </w:r>
      <w:proofErr w:type="spellStart"/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клиентоцентричного</w:t>
      </w:r>
      <w:proofErr w:type="spellEnd"/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подхода в рамках реинжиниринга процессов для улучшения клиентского опыта; </w:t>
      </w:r>
    </w:p>
    <w:p w:rsidR="00A145DA" w:rsidRPr="004446A7" w:rsidRDefault="00330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 xml:space="preserve">- при оценке результата полного внедрения реинжиниринга в целях выявления возможных отклонений от образа целевого состояния процесса, в отношении которого осуществлялся реинжиниринг; </w:t>
      </w:r>
    </w:p>
    <w:p w:rsidR="00A145DA" w:rsidRPr="004446A7" w:rsidRDefault="003309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446A7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- при подготовке предложений об изменении межведомственных процессов, включая изменения в нормативные правовые документы. </w:t>
      </w:r>
    </w:p>
    <w:p w:rsidR="00A145DA" w:rsidRPr="004446A7" w:rsidRDefault="00A145DA">
      <w:pPr>
        <w:pStyle w:val="Default"/>
        <w:ind w:firstLine="709"/>
        <w:jc w:val="both"/>
        <w:rPr>
          <w:rFonts w:ascii="Times New Roman" w:eastAsia="PT Astra Serif" w:hAnsi="Times New Roman" w:cs="Times New Roman"/>
          <w:b/>
          <w:bCs/>
          <w:sz w:val="28"/>
          <w:szCs w:val="28"/>
        </w:rPr>
      </w:pPr>
    </w:p>
    <w:p w:rsidR="00A145DA" w:rsidRPr="004446A7" w:rsidRDefault="0033097A">
      <w:pPr>
        <w:pStyle w:val="Default"/>
        <w:ind w:firstLine="709"/>
        <w:jc w:val="center"/>
        <w:rPr>
          <w:rFonts w:ascii="Times New Roman" w:hAnsi="Times New Roman" w:cs="Times New Roman"/>
        </w:rPr>
      </w:pPr>
      <w:r w:rsidRPr="004446A7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___________</w:t>
      </w:r>
    </w:p>
    <w:p w:rsidR="00A145DA" w:rsidRPr="004446A7" w:rsidRDefault="00A145DA">
      <w:pPr>
        <w:pStyle w:val="Default"/>
        <w:jc w:val="both"/>
        <w:rPr>
          <w:rFonts w:ascii="Times New Roman" w:eastAsia="PT Astra Serif" w:hAnsi="Times New Roman" w:cs="Times New Roman"/>
          <w:sz w:val="28"/>
          <w:szCs w:val="28"/>
        </w:rPr>
      </w:pPr>
    </w:p>
    <w:p w:rsidR="004446A7" w:rsidRPr="004446A7" w:rsidRDefault="004446A7">
      <w:pPr>
        <w:pStyle w:val="Default"/>
        <w:jc w:val="both"/>
        <w:rPr>
          <w:rFonts w:ascii="Times New Roman" w:eastAsia="PT Astra Serif" w:hAnsi="Times New Roman" w:cs="Times New Roman"/>
          <w:sz w:val="28"/>
          <w:szCs w:val="28"/>
        </w:rPr>
      </w:pPr>
    </w:p>
    <w:sectPr w:rsidR="004446A7" w:rsidRPr="004446A7" w:rsidSect="004446A7">
      <w:headerReference w:type="default" r:id="rId11"/>
      <w:pgSz w:w="11906" w:h="16838"/>
      <w:pgMar w:top="1230" w:right="567" w:bottom="1134" w:left="1701" w:header="72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DB9" w:rsidRDefault="00AE0DB9">
      <w:pPr>
        <w:spacing w:after="0" w:line="240" w:lineRule="auto"/>
      </w:pPr>
      <w:r>
        <w:separator/>
      </w:r>
    </w:p>
  </w:endnote>
  <w:endnote w:type="continuationSeparator" w:id="0">
    <w:p w:rsidR="00AE0DB9" w:rsidRDefault="00AE0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OpenSymbol">
    <w:altName w:val="Symbol"/>
    <w:charset w:val="00"/>
    <w:family w:val="auto"/>
    <w:pitch w:val="default"/>
  </w:font>
  <w:font w:name="Noto Sans Devanagari">
    <w:altName w:val="Bahnschrift Light"/>
    <w:charset w:val="00"/>
    <w:family w:val="auto"/>
    <w:pitch w:val="default"/>
  </w:font>
  <w:font w:name="golo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DB9" w:rsidRDefault="00AE0DB9">
      <w:pPr>
        <w:spacing w:after="0" w:line="240" w:lineRule="auto"/>
      </w:pPr>
      <w:r>
        <w:separator/>
      </w:r>
    </w:p>
  </w:footnote>
  <w:footnote w:type="continuationSeparator" w:id="0">
    <w:p w:rsidR="00AE0DB9" w:rsidRDefault="00AE0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8498307"/>
      <w:docPartObj>
        <w:docPartGallery w:val="Page Numbers (Top of Page)"/>
        <w:docPartUnique/>
      </w:docPartObj>
    </w:sdtPr>
    <w:sdtEndPr/>
    <w:sdtContent>
      <w:p w:rsidR="00A145DA" w:rsidRDefault="0033097A">
        <w:pPr>
          <w:pStyle w:val="afb"/>
          <w:jc w:val="center"/>
        </w:pPr>
        <w:r>
          <w:rPr>
            <w:rFonts w:ascii="PT Astra Serif" w:hAnsi="PT Astra Serif"/>
            <w:sz w:val="24"/>
            <w:szCs w:val="24"/>
          </w:rPr>
          <w:fldChar w:fldCharType="begin"/>
        </w:r>
        <w:r>
          <w:rPr>
            <w:rFonts w:ascii="PT Astra Serif" w:hAnsi="PT Astra Serif"/>
            <w:sz w:val="24"/>
            <w:szCs w:val="24"/>
          </w:rPr>
          <w:instrText>PAGE   \* MERGEFORMAT</w:instrText>
        </w:r>
        <w:r>
          <w:rPr>
            <w:rFonts w:ascii="PT Astra Serif" w:hAnsi="PT Astra Serif"/>
            <w:sz w:val="24"/>
            <w:szCs w:val="24"/>
          </w:rPr>
          <w:fldChar w:fldCharType="separate"/>
        </w:r>
        <w:r w:rsidR="00F2625A">
          <w:rPr>
            <w:rFonts w:ascii="PT Astra Serif" w:hAnsi="PT Astra Serif"/>
            <w:noProof/>
            <w:sz w:val="24"/>
            <w:szCs w:val="24"/>
          </w:rPr>
          <w:t>2</w:t>
        </w:r>
        <w:r>
          <w:rPr>
            <w:rFonts w:ascii="PT Astra Serif" w:hAnsi="PT Astra Serif"/>
            <w:sz w:val="24"/>
            <w:szCs w:val="24"/>
          </w:rPr>
          <w:fldChar w:fldCharType="end"/>
        </w:r>
      </w:p>
    </w:sdtContent>
  </w:sdt>
  <w:p w:rsidR="00A145DA" w:rsidRDefault="00A145DA">
    <w:pPr>
      <w:pStyle w:val="afb"/>
      <w:jc w:val="center"/>
      <w:rPr>
        <w:rFonts w:ascii="PT Astra Serif" w:hAnsi="PT Astra Serif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16198"/>
    <w:multiLevelType w:val="hybridMultilevel"/>
    <w:tmpl w:val="A4FE39F0"/>
    <w:lvl w:ilvl="0" w:tplc="3BC8CD0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3DFA008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D9CAB46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4E5EEFE6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02D4F98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1C16D19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98A0DD6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616CD66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E3189AA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1945CB1"/>
    <w:multiLevelType w:val="hybridMultilevel"/>
    <w:tmpl w:val="5C50017A"/>
    <w:lvl w:ilvl="0" w:tplc="D3807738">
      <w:start w:val="1"/>
      <w:numFmt w:val="decimal"/>
      <w:lvlText w:val="%1."/>
      <w:lvlJc w:val="left"/>
      <w:pPr>
        <w:ind w:left="1069" w:hanging="360"/>
      </w:pPr>
      <w:rPr>
        <w:rFonts w:ascii="PT Astra Serif" w:eastAsia="PT Astra Serif" w:hAnsi="PT Astra Serif" w:cs="PT Astra Serif" w:hint="default"/>
        <w:b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5DA"/>
    <w:rsid w:val="0033097A"/>
    <w:rsid w:val="00342191"/>
    <w:rsid w:val="004446A7"/>
    <w:rsid w:val="00457331"/>
    <w:rsid w:val="00485A4E"/>
    <w:rsid w:val="006F328A"/>
    <w:rsid w:val="007B2386"/>
    <w:rsid w:val="007F6408"/>
    <w:rsid w:val="00A145DA"/>
    <w:rsid w:val="00AE0DB9"/>
    <w:rsid w:val="00AE2B24"/>
    <w:rsid w:val="00B01391"/>
    <w:rsid w:val="00CF15A7"/>
    <w:rsid w:val="00F2625A"/>
    <w:rsid w:val="00F47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paragraph" w:styleId="4">
    <w:name w:val="heading 4"/>
    <w:basedOn w:val="a0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7"/>
      <w:szCs w:val="27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unhideWhenUsed/>
    <w:rPr>
      <w:color w:val="0000FF" w:themeColor="hyperlink"/>
      <w:u w:val="single"/>
    </w:rPr>
  </w:style>
  <w:style w:type="character" w:styleId="a5">
    <w:name w:val="footnote reference"/>
    <w:basedOn w:val="a1"/>
    <w:uiPriority w:val="99"/>
    <w:unhideWhenUsed/>
    <w:rPr>
      <w:vertAlign w:val="superscript"/>
    </w:rPr>
  </w:style>
  <w:style w:type="character" w:styleId="a6">
    <w:name w:val="endnote reference"/>
    <w:basedOn w:val="a1"/>
    <w:uiPriority w:val="99"/>
    <w:semiHidden/>
    <w:unhideWhenUsed/>
    <w:rPr>
      <w:vertAlign w:val="superscript"/>
    </w:rPr>
  </w:style>
  <w:style w:type="character" w:customStyle="1" w:styleId="-">
    <w:name w:val="Интернет-ссылка"/>
    <w:uiPriority w:val="99"/>
    <w:unhideWhenUsed/>
    <w:rPr>
      <w:color w:val="000080"/>
      <w:u w:val="single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basedOn w:val="a1"/>
    <w:uiPriority w:val="99"/>
    <w:unhideWhenUsed/>
    <w:qFormat/>
    <w:rPr>
      <w:vertAlign w:val="superscript"/>
    </w:rPr>
  </w:style>
  <w:style w:type="character" w:customStyle="1" w:styleId="a8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1"/>
    <w:uiPriority w:val="99"/>
    <w:semiHidden/>
    <w:unhideWhenUsed/>
    <w:qFormat/>
    <w:rPr>
      <w:vertAlign w:val="superscript"/>
    </w:rPr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1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1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1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qFormat/>
    <w:rPr>
      <w:sz w:val="48"/>
      <w:szCs w:val="48"/>
    </w:rPr>
  </w:style>
  <w:style w:type="character" w:customStyle="1" w:styleId="SubtitleChar">
    <w:name w:val="Subtitle Char"/>
    <w:basedOn w:val="a1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1"/>
    <w:uiPriority w:val="99"/>
    <w:qFormat/>
  </w:style>
  <w:style w:type="character" w:customStyle="1" w:styleId="FooterChar">
    <w:name w:val="Footer Char"/>
    <w:basedOn w:val="a1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fontstyle01">
    <w:name w:val="fontstyle01"/>
    <w:basedOn w:val="a1"/>
    <w:qFormat/>
    <w:rPr>
      <w:rFonts w:ascii="timesnewromanpsmt" w:hAnsi="timesnewromanpsmt"/>
      <w:b w:val="0"/>
      <w:bCs w:val="0"/>
      <w:i w:val="0"/>
      <w:iCs w:val="0"/>
      <w:color w:val="000000"/>
      <w:sz w:val="28"/>
      <w:szCs w:val="28"/>
    </w:rPr>
  </w:style>
  <w:style w:type="character" w:customStyle="1" w:styleId="a9">
    <w:name w:val="Верхний колонтитул Знак"/>
    <w:basedOn w:val="a1"/>
    <w:uiPriority w:val="99"/>
    <w:qFormat/>
  </w:style>
  <w:style w:type="character" w:customStyle="1" w:styleId="aa">
    <w:name w:val="Нижний колонтитул Знак"/>
    <w:basedOn w:val="a1"/>
    <w:qFormat/>
  </w:style>
  <w:style w:type="character" w:customStyle="1" w:styleId="ab">
    <w:name w:val="Основной Знак"/>
    <w:basedOn w:val="a1"/>
    <w:qFormat/>
    <w:rPr>
      <w:rFonts w:ascii="Times New Roman" w:hAnsi="Times New Roman" w:cs="Times New Roman"/>
      <w:sz w:val="28"/>
      <w:szCs w:val="28"/>
    </w:rPr>
  </w:style>
  <w:style w:type="character" w:customStyle="1" w:styleId="ac">
    <w:name w:val="Маркеры списка"/>
    <w:qFormat/>
    <w:rPr>
      <w:rFonts w:ascii="OpenSymbol" w:eastAsia="OpenSymbol" w:hAnsi="OpenSymbol" w:cs="OpenSymbol"/>
    </w:rPr>
  </w:style>
  <w:style w:type="character" w:customStyle="1" w:styleId="ad">
    <w:name w:val="Символ нумерации"/>
    <w:qFormat/>
  </w:style>
  <w:style w:type="paragraph" w:styleId="a0">
    <w:name w:val="Title"/>
    <w:basedOn w:val="a"/>
    <w:next w:val="ae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ascii="PT Astra Serif" w:hAnsi="PT Astra Serif" w:cs="Noto Sans Devanagari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f2">
    <w:name w:val="No Spacing"/>
    <w:uiPriority w:val="1"/>
    <w:qFormat/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styleId="af5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6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  <w:qFormat/>
  </w:style>
  <w:style w:type="paragraph" w:styleId="af8">
    <w:name w:val="table of figures"/>
    <w:basedOn w:val="a"/>
    <w:uiPriority w:val="99"/>
    <w:unhideWhenUsed/>
    <w:qFormat/>
    <w:pPr>
      <w:spacing w:after="0"/>
    </w:pPr>
  </w:style>
  <w:style w:type="paragraph" w:customStyle="1" w:styleId="Default">
    <w:name w:val="Default"/>
    <w:qFormat/>
    <w:rPr>
      <w:rFonts w:ascii="golos" w:hAnsi="golos" w:cs="golos"/>
      <w:color w:val="000000"/>
      <w:sz w:val="24"/>
      <w:szCs w:val="24"/>
    </w:rPr>
  </w:style>
  <w:style w:type="paragraph" w:styleId="af9">
    <w:name w:val="List Paragraph"/>
    <w:basedOn w:val="a"/>
    <w:qFormat/>
    <w:pPr>
      <w:ind w:left="720"/>
      <w:contextualSpacing/>
    </w:pPr>
  </w:style>
  <w:style w:type="paragraph" w:customStyle="1" w:styleId="afa">
    <w:name w:val="Верхний и нижний колонтитулы"/>
    <w:basedOn w:val="a"/>
    <w:qFormat/>
  </w:style>
  <w:style w:type="paragraph" w:styleId="afb">
    <w:name w:val="header"/>
    <w:basedOn w:val="a"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afc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fd">
    <w:name w:val="Normal (Web)"/>
    <w:basedOn w:val="a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Основной"/>
    <w:basedOn w:val="a"/>
    <w:qFormat/>
    <w:pPr>
      <w:spacing w:after="0" w:line="360" w:lineRule="auto"/>
      <w:ind w:firstLine="851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qFormat/>
    <w:pPr>
      <w:widowControl w:val="0"/>
    </w:pPr>
    <w:rPr>
      <w:rFonts w:eastAsia="Times New Roman" w:cs="Calibri"/>
      <w:sz w:val="20"/>
      <w:szCs w:val="20"/>
      <w:lang w:eastAsia="ru-RU"/>
    </w:rPr>
  </w:style>
  <w:style w:type="paragraph" w:customStyle="1" w:styleId="aff">
    <w:name w:val="Содержимое таблицы"/>
    <w:basedOn w:val="a"/>
    <w:qFormat/>
    <w:pPr>
      <w:suppressLineNumbers/>
    </w:pPr>
  </w:style>
  <w:style w:type="paragraph" w:customStyle="1" w:styleId="aff0">
    <w:name w:val="Заголовок таблицы"/>
    <w:basedOn w:val="aff"/>
    <w:qFormat/>
    <w:pPr>
      <w:jc w:val="center"/>
    </w:pPr>
    <w:rPr>
      <w:b/>
      <w:bCs/>
    </w:rPr>
  </w:style>
  <w:style w:type="paragraph" w:customStyle="1" w:styleId="ConsPlusTitlePage">
    <w:name w:val="ConsPlusTitlePage"/>
    <w:qFormat/>
    <w:pPr>
      <w:widowControl w:val="0"/>
    </w:pPr>
    <w:rPr>
      <w:rFonts w:ascii="Tahoma" w:eastAsiaTheme="minorEastAsia" w:hAnsi="Tahoma" w:cs="Tahoma"/>
      <w:lang w:eastAsia="ru-RU"/>
    </w:rPr>
  </w:style>
  <w:style w:type="table" w:styleId="aff1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2F2F2"/>
      </w:tcPr>
    </w:tblStylePr>
    <w:tblStylePr w:type="band1Horz">
      <w:tblPr/>
      <w:tcPr>
        <w:shd w:val="clear" w:color="FFFFFF" w:fill="F2F2F2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2F2"/>
      </w:tcPr>
    </w:tblStylePr>
    <w:tblStylePr w:type="band1Horz">
      <w:rPr>
        <w:color w:val="404040"/>
        <w:sz w:val="22"/>
      </w:rPr>
      <w:tblPr/>
      <w:tcPr>
        <w:shd w:val="clear" w:color="FFFFFF" w:fill="F2F2F2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2F2"/>
      </w:tcPr>
    </w:tblStylePr>
    <w:tblStylePr w:type="band1Horz">
      <w:rPr>
        <w:color w:val="404040"/>
        <w:sz w:val="22"/>
      </w:rPr>
      <w:tblPr/>
      <w:tcPr>
        <w:shd w:val="clear" w:color="FFFFFF" w:fill="F2F2F2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2F2F2"/>
      </w:tcPr>
    </w:tblStylePr>
    <w:tblStylePr w:type="band1Horz">
      <w:rPr>
        <w:color w:val="404040"/>
        <w:sz w:val="22"/>
      </w:rPr>
      <w:tblPr/>
      <w:tcPr>
        <w:shd w:val="clear" w:color="FFFFFF" w:fill="F2F2F2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/>
      </w:tcPr>
    </w:tblStylePr>
    <w:tblStylePr w:type="band1Horz">
      <w:rPr>
        <w:color w:val="404040"/>
        <w:sz w:val="22"/>
      </w:rPr>
      <w:tblPr/>
      <w:tcPr>
        <w:shd w:val="clear" w:color="FFFFFF" w:fill="CBCBCB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5F1"/>
      </w:tcPr>
    </w:tblStylePr>
    <w:tblStylePr w:type="band1Horz">
      <w:rPr>
        <w:color w:val="404040"/>
        <w:sz w:val="22"/>
      </w:rPr>
      <w:tblPr/>
      <w:tcPr>
        <w:shd w:val="clear" w:color="FFFFFF" w:fill="DAE5F1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/>
      </w:tcPr>
    </w:tblStylePr>
    <w:tblStylePr w:type="band1Horz">
      <w:rPr>
        <w:color w:val="404040"/>
        <w:sz w:val="22"/>
      </w:rPr>
      <w:tblPr/>
      <w:tcPr>
        <w:shd w:val="clear" w:color="FFFFFF" w:fill="F2DCDC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/>
      </w:tcPr>
    </w:tblStylePr>
    <w:tblStylePr w:type="band1Horz">
      <w:rPr>
        <w:color w:val="404040"/>
        <w:sz w:val="22"/>
      </w:rPr>
      <w:tblPr/>
      <w:tcPr>
        <w:shd w:val="clear" w:color="FFFFFF" w:fill="EAF1DC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/>
      </w:tcPr>
    </w:tblStylePr>
    <w:tblStylePr w:type="band1Horz">
      <w:rPr>
        <w:color w:val="404040"/>
        <w:sz w:val="22"/>
      </w:rPr>
      <w:tblPr/>
      <w:tcPr>
        <w:shd w:val="clear" w:color="FFFFFF" w:fill="E5DFEC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/>
      </w:tcPr>
    </w:tblStylePr>
    <w:tblStylePr w:type="band1Horz">
      <w:rPr>
        <w:color w:val="404040"/>
        <w:sz w:val="22"/>
      </w:rPr>
      <w:tblPr/>
      <w:tcPr>
        <w:shd w:val="clear" w:color="FFFFFF" w:fill="DAEEF3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/>
      </w:tcPr>
    </w:tblStylePr>
    <w:tblStylePr w:type="band1Horz">
      <w:rPr>
        <w:color w:val="404040"/>
        <w:sz w:val="22"/>
      </w:rPr>
      <w:tblPr/>
      <w:tcPr>
        <w:shd w:val="clear" w:color="FFFFFF" w:fill="FDE9D8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/>
      </w:tcPr>
    </w:tblStylePr>
    <w:tblStylePr w:type="band1Horz">
      <w:rPr>
        <w:color w:val="404040"/>
        <w:sz w:val="22"/>
      </w:rPr>
      <w:tblPr/>
      <w:tcPr>
        <w:shd w:val="clear" w:color="FFFFFF" w:fill="CBCBCB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5F1"/>
      </w:tcPr>
    </w:tblStylePr>
    <w:tblStylePr w:type="band1Horz">
      <w:rPr>
        <w:color w:val="404040"/>
        <w:sz w:val="22"/>
      </w:rPr>
      <w:tblPr/>
      <w:tcPr>
        <w:shd w:val="clear" w:color="FFFFFF" w:fill="DAE5F1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2DCDC"/>
      </w:tcPr>
    </w:tblStylePr>
    <w:tblStylePr w:type="band1Horz">
      <w:rPr>
        <w:color w:val="404040"/>
        <w:sz w:val="22"/>
      </w:rPr>
      <w:tblPr/>
      <w:tcPr>
        <w:shd w:val="clear" w:color="FFFFFF" w:fill="F2DCDC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AF1DC"/>
      </w:tcPr>
    </w:tblStylePr>
    <w:tblStylePr w:type="band1Horz">
      <w:rPr>
        <w:color w:val="404040"/>
        <w:sz w:val="22"/>
      </w:rPr>
      <w:tblPr/>
      <w:tcPr>
        <w:shd w:val="clear" w:color="FFFFFF" w:fill="EAF1DC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5DFEC"/>
      </w:tcPr>
    </w:tblStylePr>
    <w:tblStylePr w:type="band1Horz">
      <w:rPr>
        <w:color w:val="404040"/>
        <w:sz w:val="22"/>
      </w:rPr>
      <w:tblPr/>
      <w:tcPr>
        <w:shd w:val="clear" w:color="FFFFFF" w:fill="E5DFEC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EF3"/>
      </w:tcPr>
    </w:tblStylePr>
    <w:tblStylePr w:type="band1Horz">
      <w:rPr>
        <w:color w:val="404040"/>
        <w:sz w:val="22"/>
      </w:rPr>
      <w:tblPr/>
      <w:tcPr>
        <w:shd w:val="clear" w:color="FFFFFF" w:fill="DAEEF3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E9D8"/>
      </w:tcPr>
    </w:tblStylePr>
    <w:tblStylePr w:type="band1Horz">
      <w:rPr>
        <w:color w:val="404040"/>
        <w:sz w:val="22"/>
      </w:rPr>
      <w:tblPr/>
      <w:tcPr>
        <w:shd w:val="clear" w:color="FFFFFF" w:fill="FDE9D8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/>
      </w:tcPr>
    </w:tblStylePr>
    <w:tblStylePr w:type="band1Horz">
      <w:rPr>
        <w:color w:val="404040"/>
        <w:sz w:val="22"/>
      </w:rPr>
      <w:tblPr/>
      <w:tcPr>
        <w:shd w:val="clear" w:color="FFFFFF" w:fill="CBCBCB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CE6F2"/>
      </w:tcPr>
    </w:tblStylePr>
    <w:tblStylePr w:type="band1Horz">
      <w:rPr>
        <w:color w:val="404040"/>
        <w:sz w:val="22"/>
      </w:rPr>
      <w:tblPr/>
      <w:tcPr>
        <w:shd w:val="clear" w:color="FFFFFF" w:fill="DCE6F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/>
      </w:tcPr>
    </w:tblStylePr>
    <w:tblStylePr w:type="band1Horz">
      <w:rPr>
        <w:color w:val="404040"/>
        <w:sz w:val="22"/>
      </w:rPr>
      <w:tblPr/>
      <w:tcPr>
        <w:shd w:val="clear" w:color="FFFFFF" w:fill="F2DCDC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/>
      </w:tcPr>
    </w:tblStylePr>
    <w:tblStylePr w:type="band1Horz">
      <w:rPr>
        <w:color w:val="404040"/>
        <w:sz w:val="22"/>
      </w:rPr>
      <w:tblPr/>
      <w:tcPr>
        <w:shd w:val="clear" w:color="FFFFFF" w:fill="EAF1DC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/>
      </w:tcPr>
    </w:tblStylePr>
    <w:tblStylePr w:type="band1Horz">
      <w:rPr>
        <w:color w:val="404040"/>
        <w:sz w:val="22"/>
      </w:rPr>
      <w:tblPr/>
      <w:tcPr>
        <w:shd w:val="clear" w:color="FFFFFF" w:fill="E5DFEC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/>
      </w:tcPr>
    </w:tblStylePr>
    <w:tblStylePr w:type="band1Horz">
      <w:rPr>
        <w:color w:val="404040"/>
        <w:sz w:val="22"/>
      </w:rPr>
      <w:tblPr/>
      <w:tcPr>
        <w:shd w:val="clear" w:color="FFFFFF" w:fill="DAEEF3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/>
      </w:tcPr>
    </w:tblStylePr>
    <w:tblStylePr w:type="band1Horz">
      <w:rPr>
        <w:color w:val="404040"/>
        <w:sz w:val="22"/>
      </w:rPr>
      <w:tblPr/>
      <w:tcPr>
        <w:shd w:val="clear" w:color="FFFFFF" w:fill="FDE9D8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/>
      </w:tcPr>
    </w:tblStylePr>
    <w:tblStylePr w:type="firstCol">
      <w:rPr>
        <w:b/>
        <w:color w:val="FFFFFF"/>
        <w:sz w:val="22"/>
      </w:rPr>
      <w:tblPr/>
      <w:tcPr>
        <w:shd w:val="clear" w:color="FFFFFF" w:fill="000000"/>
      </w:tcPr>
    </w:tblStylePr>
    <w:tblStylePr w:type="lastCol">
      <w:rPr>
        <w:b/>
        <w:color w:val="FFFFFF"/>
        <w:sz w:val="22"/>
      </w:rPr>
      <w:tblPr/>
      <w:tcPr>
        <w:shd w:val="clear" w:color="FFFFFF" w:fill="000000"/>
      </w:tcPr>
    </w:tblStylePr>
    <w:tblStylePr w:type="band1Vert">
      <w:tblPr/>
      <w:tcPr>
        <w:shd w:val="clear" w:color="FFFFFF" w:fill="8A8A8A"/>
      </w:tcPr>
    </w:tblStylePr>
    <w:tblStylePr w:type="band1Horz">
      <w:tblPr/>
      <w:tcPr>
        <w:shd w:val="clear" w:color="FFFFFF" w:fill="8A8A8A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/>
      </w:tcPr>
    </w:tblStylePr>
    <w:tblStylePr w:type="firstCol">
      <w:rPr>
        <w:b/>
        <w:color w:val="FFFFFF"/>
        <w:sz w:val="22"/>
      </w:rPr>
      <w:tblPr/>
      <w:tcPr>
        <w:shd w:val="clear" w:color="FFFFFF" w:fill="4F81BD"/>
      </w:tcPr>
    </w:tblStylePr>
    <w:tblStylePr w:type="lastCol">
      <w:rPr>
        <w:b/>
        <w:color w:val="FFFFFF"/>
        <w:sz w:val="22"/>
      </w:rPr>
      <w:tblPr/>
      <w:tcPr>
        <w:shd w:val="clear" w:color="FFFFFF" w:fill="4F81BD"/>
      </w:tcPr>
    </w:tblStylePr>
    <w:tblStylePr w:type="band1Vert">
      <w:tblPr/>
      <w:tcPr>
        <w:shd w:val="clear" w:color="FFFFFF" w:fill="AEC4E0"/>
      </w:tcPr>
    </w:tblStylePr>
    <w:tblStylePr w:type="band1Horz">
      <w:tblPr/>
      <w:tcPr>
        <w:shd w:val="clear" w:color="FFFFFF" w:fill="AEC4E0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/>
      </w:tcPr>
    </w:tblStylePr>
    <w:tblStylePr w:type="firstCol">
      <w:rPr>
        <w:b/>
        <w:color w:val="FFFFFF"/>
        <w:sz w:val="22"/>
      </w:rPr>
      <w:tblPr/>
      <w:tcPr>
        <w:shd w:val="clear" w:color="FFFFFF" w:fill="C0504D"/>
      </w:tcPr>
    </w:tblStylePr>
    <w:tblStylePr w:type="lastCol">
      <w:rPr>
        <w:b/>
        <w:color w:val="FFFFFF"/>
        <w:sz w:val="22"/>
      </w:rPr>
      <w:tblPr/>
      <w:tcPr>
        <w:shd w:val="clear" w:color="FFFFFF" w:fill="C0504D"/>
      </w:tcPr>
    </w:tblStylePr>
    <w:tblStylePr w:type="band1Vert">
      <w:tblPr/>
      <w:tcPr>
        <w:shd w:val="clear" w:color="FFFFFF" w:fill="E2AEAD"/>
      </w:tcPr>
    </w:tblStylePr>
    <w:tblStylePr w:type="band1Horz">
      <w:tblPr/>
      <w:tcPr>
        <w:shd w:val="clear" w:color="FFFFFF" w:fill="E2AEAD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/>
      </w:tcPr>
    </w:tblStylePr>
    <w:tblStylePr w:type="firstCol">
      <w:rPr>
        <w:b/>
        <w:color w:val="FFFFFF"/>
        <w:sz w:val="22"/>
      </w:rPr>
      <w:tblPr/>
      <w:tcPr>
        <w:shd w:val="clear" w:color="FFFFFF" w:fill="9BBB59"/>
      </w:tcPr>
    </w:tblStylePr>
    <w:tblStylePr w:type="lastCol">
      <w:rPr>
        <w:b/>
        <w:color w:val="FFFFFF"/>
        <w:sz w:val="22"/>
      </w:rPr>
      <w:tblPr/>
      <w:tcPr>
        <w:shd w:val="clear" w:color="FFFFFF" w:fill="9BBB59"/>
      </w:tcPr>
    </w:tblStylePr>
    <w:tblStylePr w:type="band1Vert">
      <w:tblPr/>
      <w:tcPr>
        <w:shd w:val="clear" w:color="FFFFFF" w:fill="D0DFB2"/>
      </w:tcPr>
    </w:tblStylePr>
    <w:tblStylePr w:type="band1Horz">
      <w:tblPr/>
      <w:tcPr>
        <w:shd w:val="clear" w:color="FFFFFF" w:fill="D0DFB2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/>
      </w:tcPr>
    </w:tblStylePr>
    <w:tblStylePr w:type="firstCol">
      <w:rPr>
        <w:b/>
        <w:color w:val="FFFFFF"/>
        <w:sz w:val="22"/>
      </w:rPr>
      <w:tblPr/>
      <w:tcPr>
        <w:shd w:val="clear" w:color="FFFFFF" w:fill="8064A2"/>
      </w:tcPr>
    </w:tblStylePr>
    <w:tblStylePr w:type="lastCol">
      <w:rPr>
        <w:b/>
        <w:color w:val="FFFFFF"/>
        <w:sz w:val="22"/>
      </w:rPr>
      <w:tblPr/>
      <w:tcPr>
        <w:shd w:val="clear" w:color="FFFFFF" w:fill="8064A2"/>
      </w:tcPr>
    </w:tblStylePr>
    <w:tblStylePr w:type="band1Vert">
      <w:tblPr/>
      <w:tcPr>
        <w:shd w:val="clear" w:color="FFFFFF" w:fill="C4B7D4"/>
      </w:tcPr>
    </w:tblStylePr>
    <w:tblStylePr w:type="band1Horz">
      <w:tblPr/>
      <w:tcPr>
        <w:shd w:val="clear" w:color="FFFFFF" w:fill="C4B7D4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/>
      </w:tcPr>
    </w:tblStylePr>
    <w:tblStylePr w:type="firstCol">
      <w:rPr>
        <w:b/>
        <w:color w:val="FFFFFF"/>
        <w:sz w:val="22"/>
      </w:rPr>
      <w:tblPr/>
      <w:tcPr>
        <w:shd w:val="clear" w:color="FFFFFF" w:fill="4BACC6"/>
      </w:tcPr>
    </w:tblStylePr>
    <w:tblStylePr w:type="lastCol">
      <w:rPr>
        <w:b/>
        <w:color w:val="FFFFFF"/>
        <w:sz w:val="22"/>
      </w:rPr>
      <w:tblPr/>
      <w:tcPr>
        <w:shd w:val="clear" w:color="FFFFFF" w:fill="4BACC6"/>
      </w:tcPr>
    </w:tblStylePr>
    <w:tblStylePr w:type="band1Vert">
      <w:tblPr/>
      <w:tcPr>
        <w:shd w:val="clear" w:color="FFFFFF" w:fill="ACD8E4"/>
      </w:tcPr>
    </w:tblStylePr>
    <w:tblStylePr w:type="band1Horz">
      <w:tblPr/>
      <w:tcPr>
        <w:shd w:val="clear" w:color="FFFFFF" w:fill="ACD8E4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/>
      </w:tcPr>
    </w:tblStylePr>
    <w:tblStylePr w:type="firstCol">
      <w:rPr>
        <w:b/>
        <w:color w:val="FFFFFF"/>
        <w:sz w:val="22"/>
      </w:rPr>
      <w:tblPr/>
      <w:tcPr>
        <w:shd w:val="clear" w:color="FFFFFF" w:fill="F79646"/>
      </w:tcPr>
    </w:tblStylePr>
    <w:tblStylePr w:type="lastCol">
      <w:rPr>
        <w:b/>
        <w:color w:val="FFFFFF"/>
        <w:sz w:val="22"/>
      </w:rPr>
      <w:tblPr/>
      <w:tcPr>
        <w:shd w:val="clear" w:color="FFFFFF" w:fill="F79646"/>
      </w:tcPr>
    </w:tblStylePr>
    <w:tblStylePr w:type="band1Vert">
      <w:tblPr/>
      <w:tcPr>
        <w:shd w:val="clear" w:color="FFFFFF" w:fill="FBCEAA"/>
      </w:tcPr>
    </w:tblStylePr>
    <w:tblStylePr w:type="band1Horz">
      <w:tblPr/>
      <w:tcPr>
        <w:shd w:val="clear" w:color="FFFFFF" w:fill="FBCEAA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F2F2F2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DAE5F1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 w:themeColor="accent2"/>
          <w:right w:val="none" w:sz="0" w:space="0" w:color="auto"/>
        </w:tcBorders>
        <w:shd w:val="clear" w:color="FFFFFF" w:fill="FFFFFF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C0504D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F2DCDC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</w:tcBorders>
        <w:shd w:val="clear" w:color="FFFFFF" w:fill="FFFFFF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BBB59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EAF1DC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 w:themeColor="accent4"/>
          <w:right w:val="none" w:sz="0" w:space="0" w:color="auto"/>
        </w:tcBorders>
        <w:shd w:val="clear" w:color="FFFFFF" w:fill="FFFFFF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8064A2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E5DFEC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 w:themeColor="accent5"/>
          <w:right w:val="none" w:sz="0" w:space="0" w:color="auto"/>
        </w:tcBorders>
        <w:shd w:val="clear" w:color="FFFFFF" w:fill="FFFFFF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4BACC6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DAEEF3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 w:themeColor="accent6"/>
          <w:right w:val="none" w:sz="0" w:space="0" w:color="auto"/>
        </w:tcBorders>
        <w:shd w:val="clear" w:color="FFFFFF" w:fill="FFFFFF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79646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FDE9D8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/>
      </w:tcPr>
    </w:tblStylePr>
    <w:tblStylePr w:type="band1Horz">
      <w:tblPr/>
      <w:tcPr>
        <w:shd w:val="clear" w:color="FFFFFF" w:fill="BFBFBF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/>
      </w:tcPr>
    </w:tblStylePr>
    <w:tblStylePr w:type="band1Horz">
      <w:tblPr/>
      <w:tcPr>
        <w:shd w:val="clear" w:color="FFFFFF" w:fill="D2DFEE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/>
      </w:tcPr>
    </w:tblStylePr>
    <w:tblStylePr w:type="band1Horz">
      <w:tblPr/>
      <w:tcPr>
        <w:shd w:val="clear" w:color="FFFFFF" w:fill="EFD2D2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/>
      </w:tcPr>
    </w:tblStylePr>
    <w:tblStylePr w:type="band1Horz">
      <w:tblPr/>
      <w:tcPr>
        <w:shd w:val="clear" w:color="FFFFFF" w:fill="E5EED5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/>
      </w:tcPr>
    </w:tblStylePr>
    <w:tblStylePr w:type="band1Horz">
      <w:tblPr/>
      <w:tcPr>
        <w:shd w:val="clear" w:color="FFFFFF" w:fill="DFD8E7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/>
      </w:tcPr>
    </w:tblStylePr>
    <w:tblStylePr w:type="band1Horz">
      <w:tblPr/>
      <w:tcPr>
        <w:shd w:val="clear" w:color="FFFFFF" w:fill="D1EAF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/>
      </w:tcPr>
    </w:tblStylePr>
    <w:tblStylePr w:type="band1Horz">
      <w:tblPr/>
      <w:tcPr>
        <w:shd w:val="clear" w:color="FFFFFF" w:fill="FDE4D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/>
      </w:tcPr>
    </w:tblStylePr>
    <w:tblStylePr w:type="band1Horz">
      <w:rPr>
        <w:color w:val="404040"/>
        <w:sz w:val="22"/>
      </w:rPr>
      <w:tblPr/>
      <w:tcPr>
        <w:shd w:val="clear" w:color="FFFFFF" w:fill="BFBFBF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2DFEE"/>
      </w:tcPr>
    </w:tblStylePr>
    <w:tblStylePr w:type="band1Horz">
      <w:rPr>
        <w:color w:val="404040"/>
        <w:sz w:val="22"/>
      </w:rPr>
      <w:tblPr/>
      <w:tcPr>
        <w:shd w:val="clear" w:color="FFFFFF" w:fill="D2DFEE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FD2D2"/>
      </w:tcPr>
    </w:tblStylePr>
    <w:tblStylePr w:type="band1Horz">
      <w:rPr>
        <w:color w:val="404040"/>
        <w:sz w:val="22"/>
      </w:rPr>
      <w:tblPr/>
      <w:tcPr>
        <w:shd w:val="clear" w:color="FFFFFF" w:fill="EFD2D2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5EED5"/>
      </w:tcPr>
    </w:tblStylePr>
    <w:tblStylePr w:type="band1Horz">
      <w:rPr>
        <w:color w:val="404040"/>
        <w:sz w:val="22"/>
      </w:rPr>
      <w:tblPr/>
      <w:tcPr>
        <w:shd w:val="clear" w:color="FFFFFF" w:fill="E5EED5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FD8E7"/>
      </w:tcPr>
    </w:tblStylePr>
    <w:tblStylePr w:type="band1Horz">
      <w:rPr>
        <w:color w:val="404040"/>
        <w:sz w:val="22"/>
      </w:rPr>
      <w:tblPr/>
      <w:tcPr>
        <w:shd w:val="clear" w:color="FFFFFF" w:fill="DFD8E7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1EAF0"/>
      </w:tcPr>
    </w:tblStylePr>
    <w:tblStylePr w:type="band1Horz">
      <w:rPr>
        <w:color w:val="404040"/>
        <w:sz w:val="22"/>
      </w:rPr>
      <w:tblPr/>
      <w:tcPr>
        <w:shd w:val="clear" w:color="FFFFFF" w:fill="D1EAF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E4D0"/>
      </w:tcPr>
    </w:tblStylePr>
    <w:tblStylePr w:type="band1Horz">
      <w:rPr>
        <w:color w:val="404040"/>
        <w:sz w:val="22"/>
      </w:rPr>
      <w:tblPr/>
      <w:tcPr>
        <w:shd w:val="clear" w:color="FFFFFF" w:fill="FDE4D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/>
      </w:tcPr>
    </w:tblStylePr>
    <w:tblStylePr w:type="band1Horz">
      <w:rPr>
        <w:color w:val="404040"/>
        <w:sz w:val="22"/>
      </w:rPr>
      <w:tblPr/>
      <w:tcPr>
        <w:shd w:val="clear" w:color="FFFFFF" w:fill="BFBFBF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2DFEE"/>
      </w:tcPr>
    </w:tblStylePr>
    <w:tblStylePr w:type="band1Horz">
      <w:rPr>
        <w:color w:val="404040"/>
        <w:sz w:val="22"/>
      </w:rPr>
      <w:tblPr/>
      <w:tcPr>
        <w:shd w:val="clear" w:color="FFFFFF" w:fill="D2DFEE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FD2D2"/>
      </w:tcPr>
    </w:tblStylePr>
    <w:tblStylePr w:type="band1Horz">
      <w:rPr>
        <w:color w:val="404040"/>
        <w:sz w:val="22"/>
      </w:rPr>
      <w:tblPr/>
      <w:tcPr>
        <w:shd w:val="clear" w:color="FFFFFF" w:fill="EFD2D2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EED5"/>
      </w:tcPr>
    </w:tblStylePr>
    <w:tblStylePr w:type="band1Horz">
      <w:rPr>
        <w:color w:val="404040"/>
        <w:sz w:val="22"/>
      </w:rPr>
      <w:tblPr/>
      <w:tcPr>
        <w:shd w:val="clear" w:color="FFFFFF" w:fill="E5EED5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FD8E7"/>
      </w:tcPr>
    </w:tblStylePr>
    <w:tblStylePr w:type="band1Horz">
      <w:rPr>
        <w:color w:val="404040"/>
        <w:sz w:val="22"/>
      </w:rPr>
      <w:tblPr/>
      <w:tcPr>
        <w:shd w:val="clear" w:color="FFFFFF" w:fill="DFD8E7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1EAF0"/>
      </w:tcPr>
    </w:tblStylePr>
    <w:tblStylePr w:type="band1Horz">
      <w:rPr>
        <w:color w:val="404040"/>
        <w:sz w:val="22"/>
      </w:rPr>
      <w:tblPr/>
      <w:tcPr>
        <w:shd w:val="clear" w:color="FFFFFF" w:fill="D1EAF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4D0"/>
      </w:tcPr>
    </w:tblStylePr>
    <w:tblStylePr w:type="band1Horz">
      <w:rPr>
        <w:color w:val="404040"/>
        <w:sz w:val="22"/>
      </w:rPr>
      <w:tblPr/>
      <w:tcPr>
        <w:shd w:val="clear" w:color="FFFFFF" w:fill="FDE4D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BFBFBF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D2DFEE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 w:themeColor="accent2"/>
          <w:right w:val="none" w:sz="0" w:space="0" w:color="auto"/>
        </w:tcBorders>
        <w:shd w:val="clear" w:color="FFFFFF" w:fill="FFFFFF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C0504D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EFD2D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</w:tcBorders>
        <w:shd w:val="clear" w:color="FFFFFF" w:fill="FFFFFF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9BBB59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E5EED5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 w:themeColor="accent4"/>
          <w:right w:val="none" w:sz="0" w:space="0" w:color="auto"/>
        </w:tcBorders>
        <w:shd w:val="clear" w:color="FFFFFF" w:fill="FFFFFF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8064A2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DFD8E7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 w:themeColor="accent5"/>
          <w:right w:val="none" w:sz="0" w:space="0" w:color="auto"/>
        </w:tcBorders>
        <w:shd w:val="clear" w:color="FFFFFF" w:fill="FFFFFF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4BACC6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D1EAF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 w:themeColor="accent6"/>
          <w:right w:val="none" w:sz="0" w:space="0" w:color="auto"/>
        </w:tcBorders>
        <w:shd w:val="clear" w:color="FFFFFF" w:fill="FFFFFF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79646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FDE4D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/>
      </w:tcPr>
    </w:tblStylePr>
    <w:tblStylePr w:type="lastRow">
      <w:rPr>
        <w:color w:val="F2F2F2"/>
        <w:sz w:val="22"/>
      </w:rPr>
      <w:tblPr/>
      <w:tcPr>
        <w:shd w:val="clear" w:color="FFFFFF" w:fill="7F7F7F"/>
      </w:tcPr>
    </w:tblStylePr>
    <w:tblStylePr w:type="firstCol">
      <w:rPr>
        <w:color w:val="F2F2F2"/>
        <w:sz w:val="22"/>
      </w:rPr>
      <w:tblPr/>
      <w:tcPr>
        <w:shd w:val="clear" w:color="FFFFFF" w:fill="7F7F7F"/>
      </w:tcPr>
    </w:tblStylePr>
    <w:tblStylePr w:type="lastCol">
      <w:rPr>
        <w:color w:val="F2F2F2"/>
        <w:sz w:val="22"/>
      </w:rPr>
      <w:tblPr/>
      <w:tcPr>
        <w:shd w:val="clear" w:color="FFFFFF" w:fill="7F7F7F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2F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2F2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/>
      </w:tcPr>
    </w:tblStylePr>
    <w:tblStylePr w:type="lastRow">
      <w:rPr>
        <w:color w:val="F2F2F2"/>
        <w:sz w:val="22"/>
      </w:rPr>
      <w:tblPr/>
      <w:tcPr>
        <w:shd w:val="clear" w:color="FFFFFF" w:fill="5D8AC2"/>
      </w:tcPr>
    </w:tblStylePr>
    <w:tblStylePr w:type="firstCol">
      <w:rPr>
        <w:color w:val="F2F2F2"/>
        <w:sz w:val="22"/>
      </w:rPr>
      <w:tblPr/>
      <w:tcPr>
        <w:shd w:val="clear" w:color="FFFFFF" w:fill="5D8AC2"/>
      </w:tcPr>
    </w:tblStylePr>
    <w:tblStylePr w:type="lastCol">
      <w:rPr>
        <w:color w:val="F2F2F2"/>
        <w:sz w:val="22"/>
      </w:rPr>
      <w:tblPr/>
      <w:tcPr>
        <w:shd w:val="clear" w:color="FFFFFF" w:fill="5D8AC2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/>
      </w:tcPr>
    </w:tblStylePr>
    <w:tblStylePr w:type="lastRow">
      <w:rPr>
        <w:color w:val="F2F2F2"/>
        <w:sz w:val="22"/>
      </w:rPr>
      <w:tblPr/>
      <w:tcPr>
        <w:shd w:val="clear" w:color="FFFFFF" w:fill="D99695"/>
      </w:tcPr>
    </w:tblStylePr>
    <w:tblStylePr w:type="firstCol">
      <w:rPr>
        <w:color w:val="F2F2F2"/>
        <w:sz w:val="22"/>
      </w:rPr>
      <w:tblPr/>
      <w:tcPr>
        <w:shd w:val="clear" w:color="FFFFFF" w:fill="D99695"/>
      </w:tcPr>
    </w:tblStylePr>
    <w:tblStylePr w:type="lastCol">
      <w:rPr>
        <w:color w:val="F2F2F2"/>
        <w:sz w:val="22"/>
      </w:rPr>
      <w:tblPr/>
      <w:tcPr>
        <w:shd w:val="clear" w:color="FFFFFF" w:fill="D9969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/>
      </w:tcPr>
    </w:tblStylePr>
    <w:tblStylePr w:type="lastRow">
      <w:rPr>
        <w:color w:val="F2F2F2"/>
        <w:sz w:val="22"/>
      </w:rPr>
      <w:tblPr/>
      <w:tcPr>
        <w:shd w:val="clear" w:color="FFFFFF" w:fill="9ABB59"/>
      </w:tcPr>
    </w:tblStylePr>
    <w:tblStylePr w:type="firstCol">
      <w:rPr>
        <w:color w:val="F2F2F2"/>
        <w:sz w:val="22"/>
      </w:rPr>
      <w:tblPr/>
      <w:tcPr>
        <w:shd w:val="clear" w:color="FFFFFF" w:fill="9ABB59"/>
      </w:tcPr>
    </w:tblStylePr>
    <w:tblStylePr w:type="lastCol">
      <w:rPr>
        <w:color w:val="F2F2F2"/>
        <w:sz w:val="22"/>
      </w:rPr>
      <w:tblPr/>
      <w:tcPr>
        <w:shd w:val="clear" w:color="FFFFFF" w:fill="9ABB59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/>
      </w:tcPr>
    </w:tblStylePr>
    <w:tblStylePr w:type="lastRow">
      <w:rPr>
        <w:color w:val="F2F2F2"/>
        <w:sz w:val="22"/>
      </w:rPr>
      <w:tblPr/>
      <w:tcPr>
        <w:shd w:val="clear" w:color="FFFFFF" w:fill="B2A1C6"/>
      </w:tcPr>
    </w:tblStylePr>
    <w:tblStylePr w:type="firstCol">
      <w:rPr>
        <w:color w:val="F2F2F2"/>
        <w:sz w:val="22"/>
      </w:rPr>
      <w:tblPr/>
      <w:tcPr>
        <w:shd w:val="clear" w:color="FFFFFF" w:fill="B2A1C6"/>
      </w:tcPr>
    </w:tblStylePr>
    <w:tblStylePr w:type="lastCol">
      <w:rPr>
        <w:color w:val="F2F2F2"/>
        <w:sz w:val="22"/>
      </w:rPr>
      <w:tblPr/>
      <w:tcPr>
        <w:shd w:val="clear" w:color="FFFFFF" w:fill="B2A1C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/>
      </w:tcPr>
    </w:tblStylePr>
    <w:tblStylePr w:type="lastRow">
      <w:rPr>
        <w:color w:val="F2F2F2"/>
        <w:sz w:val="22"/>
      </w:rPr>
      <w:tblPr/>
      <w:tcPr>
        <w:shd w:val="clear" w:color="FFFFFF" w:fill="4BACC6"/>
      </w:tcPr>
    </w:tblStylePr>
    <w:tblStylePr w:type="firstCol">
      <w:rPr>
        <w:color w:val="F2F2F2"/>
        <w:sz w:val="22"/>
      </w:rPr>
      <w:tblPr/>
      <w:tcPr>
        <w:shd w:val="clear" w:color="FFFFFF" w:fill="4BACC6"/>
      </w:tcPr>
    </w:tblStylePr>
    <w:tblStylePr w:type="lastCol">
      <w:rPr>
        <w:color w:val="F2F2F2"/>
        <w:sz w:val="22"/>
      </w:rPr>
      <w:tblPr/>
      <w:tcPr>
        <w:shd w:val="clear" w:color="FFFFFF" w:fill="4BACC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/>
      </w:tcPr>
    </w:tblStylePr>
    <w:tblStylePr w:type="lastRow">
      <w:rPr>
        <w:color w:val="F2F2F2"/>
        <w:sz w:val="22"/>
      </w:rPr>
      <w:tblPr/>
      <w:tcPr>
        <w:shd w:val="clear" w:color="FFFFFF" w:fill="F79646"/>
      </w:tcPr>
    </w:tblStylePr>
    <w:tblStylePr w:type="firstCol">
      <w:rPr>
        <w:color w:val="F2F2F2"/>
        <w:sz w:val="22"/>
      </w:rPr>
      <w:tblPr/>
      <w:tcPr>
        <w:shd w:val="clear" w:color="FFFFFF" w:fill="F79646"/>
      </w:tcPr>
    </w:tblStylePr>
    <w:tblStylePr w:type="lastCol">
      <w:rPr>
        <w:color w:val="F2F2F2"/>
        <w:sz w:val="22"/>
      </w:rPr>
      <w:tblPr/>
      <w:tcPr>
        <w:shd w:val="clear" w:color="FFFFFF" w:fill="F7964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/>
      </w:tcPr>
    </w:tblStylePr>
    <w:tblStylePr w:type="lastRow">
      <w:rPr>
        <w:color w:val="F2F2F2"/>
        <w:sz w:val="22"/>
      </w:rPr>
      <w:tblPr/>
      <w:tcPr>
        <w:shd w:val="clear" w:color="FFFFFF" w:fill="7F7F7F"/>
      </w:tcPr>
    </w:tblStylePr>
    <w:tblStylePr w:type="firstCol">
      <w:rPr>
        <w:color w:val="F2F2F2"/>
        <w:sz w:val="22"/>
      </w:rPr>
      <w:tblPr/>
      <w:tcPr>
        <w:shd w:val="clear" w:color="FFFFFF" w:fill="7F7F7F"/>
      </w:tcPr>
    </w:tblStylePr>
    <w:tblStylePr w:type="lastCol">
      <w:rPr>
        <w:color w:val="F2F2F2"/>
        <w:sz w:val="22"/>
      </w:rPr>
      <w:tblPr/>
      <w:tcPr>
        <w:shd w:val="clear" w:color="FFFFFF" w:fill="7F7F7F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2F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2F2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/>
      </w:tcPr>
    </w:tblStylePr>
    <w:tblStylePr w:type="lastRow">
      <w:rPr>
        <w:color w:val="F2F2F2"/>
        <w:sz w:val="22"/>
      </w:rPr>
      <w:tblPr/>
      <w:tcPr>
        <w:shd w:val="clear" w:color="FFFFFF" w:fill="5D8AC2"/>
      </w:tcPr>
    </w:tblStylePr>
    <w:tblStylePr w:type="firstCol">
      <w:rPr>
        <w:color w:val="F2F2F2"/>
        <w:sz w:val="22"/>
      </w:rPr>
      <w:tblPr/>
      <w:tcPr>
        <w:shd w:val="clear" w:color="FFFFFF" w:fill="5D8AC2"/>
      </w:tcPr>
    </w:tblStylePr>
    <w:tblStylePr w:type="lastCol">
      <w:rPr>
        <w:color w:val="F2F2F2"/>
        <w:sz w:val="22"/>
      </w:rPr>
      <w:tblPr/>
      <w:tcPr>
        <w:shd w:val="clear" w:color="FFFFFF" w:fill="5D8AC2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/>
      </w:tcPr>
    </w:tblStylePr>
    <w:tblStylePr w:type="lastRow">
      <w:rPr>
        <w:color w:val="F2F2F2"/>
        <w:sz w:val="22"/>
      </w:rPr>
      <w:tblPr/>
      <w:tcPr>
        <w:shd w:val="clear" w:color="FFFFFF" w:fill="D99695"/>
      </w:tcPr>
    </w:tblStylePr>
    <w:tblStylePr w:type="firstCol">
      <w:rPr>
        <w:color w:val="F2F2F2"/>
        <w:sz w:val="22"/>
      </w:rPr>
      <w:tblPr/>
      <w:tcPr>
        <w:shd w:val="clear" w:color="FFFFFF" w:fill="D99695"/>
      </w:tcPr>
    </w:tblStylePr>
    <w:tblStylePr w:type="lastCol">
      <w:rPr>
        <w:color w:val="F2F2F2"/>
        <w:sz w:val="22"/>
      </w:rPr>
      <w:tblPr/>
      <w:tcPr>
        <w:shd w:val="clear" w:color="FFFFFF" w:fill="D9969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/>
      </w:tcPr>
    </w:tblStylePr>
    <w:tblStylePr w:type="lastRow">
      <w:rPr>
        <w:color w:val="F2F2F2"/>
        <w:sz w:val="22"/>
      </w:rPr>
      <w:tblPr/>
      <w:tcPr>
        <w:shd w:val="clear" w:color="FFFFFF" w:fill="9ABB59"/>
      </w:tcPr>
    </w:tblStylePr>
    <w:tblStylePr w:type="firstCol">
      <w:rPr>
        <w:color w:val="F2F2F2"/>
        <w:sz w:val="22"/>
      </w:rPr>
      <w:tblPr/>
      <w:tcPr>
        <w:shd w:val="clear" w:color="FFFFFF" w:fill="9ABB59"/>
      </w:tcPr>
    </w:tblStylePr>
    <w:tblStylePr w:type="lastCol">
      <w:rPr>
        <w:color w:val="F2F2F2"/>
        <w:sz w:val="22"/>
      </w:rPr>
      <w:tblPr/>
      <w:tcPr>
        <w:shd w:val="clear" w:color="FFFFFF" w:fill="9ABB59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/>
      </w:tcPr>
    </w:tblStylePr>
    <w:tblStylePr w:type="lastRow">
      <w:rPr>
        <w:color w:val="F2F2F2"/>
        <w:sz w:val="22"/>
      </w:rPr>
      <w:tblPr/>
      <w:tcPr>
        <w:shd w:val="clear" w:color="FFFFFF" w:fill="B2A1C6"/>
      </w:tcPr>
    </w:tblStylePr>
    <w:tblStylePr w:type="firstCol">
      <w:rPr>
        <w:color w:val="F2F2F2"/>
        <w:sz w:val="22"/>
      </w:rPr>
      <w:tblPr/>
      <w:tcPr>
        <w:shd w:val="clear" w:color="FFFFFF" w:fill="B2A1C6"/>
      </w:tcPr>
    </w:tblStylePr>
    <w:tblStylePr w:type="lastCol">
      <w:rPr>
        <w:color w:val="F2F2F2"/>
        <w:sz w:val="22"/>
      </w:rPr>
      <w:tblPr/>
      <w:tcPr>
        <w:shd w:val="clear" w:color="FFFFFF" w:fill="B2A1C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/>
      </w:tcPr>
    </w:tblStylePr>
    <w:tblStylePr w:type="lastRow">
      <w:rPr>
        <w:color w:val="F2F2F2"/>
        <w:sz w:val="22"/>
      </w:rPr>
      <w:tblPr/>
      <w:tcPr>
        <w:shd w:val="clear" w:color="FFFFFF" w:fill="4BACC6"/>
      </w:tcPr>
    </w:tblStylePr>
    <w:tblStylePr w:type="firstCol">
      <w:rPr>
        <w:color w:val="F2F2F2"/>
        <w:sz w:val="22"/>
      </w:rPr>
      <w:tblPr/>
      <w:tcPr>
        <w:shd w:val="clear" w:color="FFFFFF" w:fill="4BACC6"/>
      </w:tcPr>
    </w:tblStylePr>
    <w:tblStylePr w:type="lastCol">
      <w:rPr>
        <w:color w:val="F2F2F2"/>
        <w:sz w:val="22"/>
      </w:rPr>
      <w:tblPr/>
      <w:tcPr>
        <w:shd w:val="clear" w:color="FFFFFF" w:fill="4BACC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/>
      </w:tcPr>
    </w:tblStylePr>
    <w:tblStylePr w:type="lastRow">
      <w:rPr>
        <w:color w:val="F2F2F2"/>
        <w:sz w:val="22"/>
      </w:rPr>
      <w:tblPr/>
      <w:tcPr>
        <w:shd w:val="clear" w:color="FFFFFF" w:fill="F79646"/>
      </w:tcPr>
    </w:tblStylePr>
    <w:tblStylePr w:type="firstCol">
      <w:rPr>
        <w:color w:val="F2F2F2"/>
        <w:sz w:val="22"/>
      </w:rPr>
      <w:tblPr/>
      <w:tcPr>
        <w:shd w:val="clear" w:color="FFFFFF" w:fill="F79646"/>
      </w:tcPr>
    </w:tblStylePr>
    <w:tblStylePr w:type="lastCol">
      <w:rPr>
        <w:color w:val="F2F2F2"/>
        <w:sz w:val="22"/>
      </w:rPr>
      <w:tblPr/>
      <w:tcPr>
        <w:shd w:val="clear" w:color="FFFFFF" w:fill="F7964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paragraph" w:styleId="aff2">
    <w:name w:val="Balloon Text"/>
    <w:basedOn w:val="a"/>
    <w:link w:val="aff3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3">
    <w:name w:val="Текст выноски Знак"/>
    <w:basedOn w:val="a1"/>
    <w:link w:val="aff2"/>
    <w:uiPriority w:val="99"/>
    <w:semiHidden/>
    <w:rPr>
      <w:rFonts w:ascii="Segoe UI" w:hAnsi="Segoe UI" w:cs="Segoe UI"/>
      <w:sz w:val="18"/>
      <w:szCs w:val="18"/>
    </w:rPr>
  </w:style>
  <w:style w:type="character" w:styleId="aff4">
    <w:name w:val="annotation reference"/>
    <w:basedOn w:val="a1"/>
    <w:uiPriority w:val="99"/>
    <w:semiHidden/>
    <w:unhideWhenUsed/>
    <w:rPr>
      <w:sz w:val="16"/>
      <w:szCs w:val="16"/>
    </w:rPr>
  </w:style>
  <w:style w:type="paragraph" w:styleId="aff5">
    <w:name w:val="annotation text"/>
    <w:basedOn w:val="a"/>
    <w:link w:val="aff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6">
    <w:name w:val="Текст примечания Знак"/>
    <w:basedOn w:val="a1"/>
    <w:link w:val="aff5"/>
    <w:uiPriority w:val="99"/>
    <w:semiHidden/>
    <w:rPr>
      <w:sz w:val="20"/>
      <w:szCs w:val="20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Pr>
      <w:b/>
      <w:bCs/>
    </w:rPr>
  </w:style>
  <w:style w:type="character" w:customStyle="1" w:styleId="aff8">
    <w:name w:val="Тема примечания Знак"/>
    <w:basedOn w:val="aff6"/>
    <w:link w:val="aff7"/>
    <w:uiPriority w:val="99"/>
    <w:semiHidden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paragraph" w:styleId="4">
    <w:name w:val="heading 4"/>
    <w:basedOn w:val="a0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7"/>
      <w:szCs w:val="27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unhideWhenUsed/>
    <w:rPr>
      <w:color w:val="0000FF" w:themeColor="hyperlink"/>
      <w:u w:val="single"/>
    </w:rPr>
  </w:style>
  <w:style w:type="character" w:styleId="a5">
    <w:name w:val="footnote reference"/>
    <w:basedOn w:val="a1"/>
    <w:uiPriority w:val="99"/>
    <w:unhideWhenUsed/>
    <w:rPr>
      <w:vertAlign w:val="superscript"/>
    </w:rPr>
  </w:style>
  <w:style w:type="character" w:styleId="a6">
    <w:name w:val="endnote reference"/>
    <w:basedOn w:val="a1"/>
    <w:uiPriority w:val="99"/>
    <w:semiHidden/>
    <w:unhideWhenUsed/>
    <w:rPr>
      <w:vertAlign w:val="superscript"/>
    </w:rPr>
  </w:style>
  <w:style w:type="character" w:customStyle="1" w:styleId="-">
    <w:name w:val="Интернет-ссылка"/>
    <w:uiPriority w:val="99"/>
    <w:unhideWhenUsed/>
    <w:rPr>
      <w:color w:val="000080"/>
      <w:u w:val="single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basedOn w:val="a1"/>
    <w:uiPriority w:val="99"/>
    <w:unhideWhenUsed/>
    <w:qFormat/>
    <w:rPr>
      <w:vertAlign w:val="superscript"/>
    </w:rPr>
  </w:style>
  <w:style w:type="character" w:customStyle="1" w:styleId="a8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1"/>
    <w:uiPriority w:val="99"/>
    <w:semiHidden/>
    <w:unhideWhenUsed/>
    <w:qFormat/>
    <w:rPr>
      <w:vertAlign w:val="superscript"/>
    </w:rPr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1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1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1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qFormat/>
    <w:rPr>
      <w:sz w:val="48"/>
      <w:szCs w:val="48"/>
    </w:rPr>
  </w:style>
  <w:style w:type="character" w:customStyle="1" w:styleId="SubtitleChar">
    <w:name w:val="Subtitle Char"/>
    <w:basedOn w:val="a1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1"/>
    <w:uiPriority w:val="99"/>
    <w:qFormat/>
  </w:style>
  <w:style w:type="character" w:customStyle="1" w:styleId="FooterChar">
    <w:name w:val="Footer Char"/>
    <w:basedOn w:val="a1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fontstyle01">
    <w:name w:val="fontstyle01"/>
    <w:basedOn w:val="a1"/>
    <w:qFormat/>
    <w:rPr>
      <w:rFonts w:ascii="timesnewromanpsmt" w:hAnsi="timesnewromanpsmt"/>
      <w:b w:val="0"/>
      <w:bCs w:val="0"/>
      <w:i w:val="0"/>
      <w:iCs w:val="0"/>
      <w:color w:val="000000"/>
      <w:sz w:val="28"/>
      <w:szCs w:val="28"/>
    </w:rPr>
  </w:style>
  <w:style w:type="character" w:customStyle="1" w:styleId="a9">
    <w:name w:val="Верхний колонтитул Знак"/>
    <w:basedOn w:val="a1"/>
    <w:uiPriority w:val="99"/>
    <w:qFormat/>
  </w:style>
  <w:style w:type="character" w:customStyle="1" w:styleId="aa">
    <w:name w:val="Нижний колонтитул Знак"/>
    <w:basedOn w:val="a1"/>
    <w:qFormat/>
  </w:style>
  <w:style w:type="character" w:customStyle="1" w:styleId="ab">
    <w:name w:val="Основной Знак"/>
    <w:basedOn w:val="a1"/>
    <w:qFormat/>
    <w:rPr>
      <w:rFonts w:ascii="Times New Roman" w:hAnsi="Times New Roman" w:cs="Times New Roman"/>
      <w:sz w:val="28"/>
      <w:szCs w:val="28"/>
    </w:rPr>
  </w:style>
  <w:style w:type="character" w:customStyle="1" w:styleId="ac">
    <w:name w:val="Маркеры списка"/>
    <w:qFormat/>
    <w:rPr>
      <w:rFonts w:ascii="OpenSymbol" w:eastAsia="OpenSymbol" w:hAnsi="OpenSymbol" w:cs="OpenSymbol"/>
    </w:rPr>
  </w:style>
  <w:style w:type="character" w:customStyle="1" w:styleId="ad">
    <w:name w:val="Символ нумерации"/>
    <w:qFormat/>
  </w:style>
  <w:style w:type="paragraph" w:styleId="a0">
    <w:name w:val="Title"/>
    <w:basedOn w:val="a"/>
    <w:next w:val="ae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ascii="PT Astra Serif" w:hAnsi="PT Astra Serif" w:cs="Noto Sans Devanagari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f2">
    <w:name w:val="No Spacing"/>
    <w:uiPriority w:val="1"/>
    <w:qFormat/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styleId="af5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6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  <w:qFormat/>
  </w:style>
  <w:style w:type="paragraph" w:styleId="af8">
    <w:name w:val="table of figures"/>
    <w:basedOn w:val="a"/>
    <w:uiPriority w:val="99"/>
    <w:unhideWhenUsed/>
    <w:qFormat/>
    <w:pPr>
      <w:spacing w:after="0"/>
    </w:pPr>
  </w:style>
  <w:style w:type="paragraph" w:customStyle="1" w:styleId="Default">
    <w:name w:val="Default"/>
    <w:qFormat/>
    <w:rPr>
      <w:rFonts w:ascii="golos" w:hAnsi="golos" w:cs="golos"/>
      <w:color w:val="000000"/>
      <w:sz w:val="24"/>
      <w:szCs w:val="24"/>
    </w:rPr>
  </w:style>
  <w:style w:type="paragraph" w:styleId="af9">
    <w:name w:val="List Paragraph"/>
    <w:basedOn w:val="a"/>
    <w:qFormat/>
    <w:pPr>
      <w:ind w:left="720"/>
      <w:contextualSpacing/>
    </w:pPr>
  </w:style>
  <w:style w:type="paragraph" w:customStyle="1" w:styleId="afa">
    <w:name w:val="Верхний и нижний колонтитулы"/>
    <w:basedOn w:val="a"/>
    <w:qFormat/>
  </w:style>
  <w:style w:type="paragraph" w:styleId="afb">
    <w:name w:val="header"/>
    <w:basedOn w:val="a"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afc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fd">
    <w:name w:val="Normal (Web)"/>
    <w:basedOn w:val="a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Основной"/>
    <w:basedOn w:val="a"/>
    <w:qFormat/>
    <w:pPr>
      <w:spacing w:after="0" w:line="360" w:lineRule="auto"/>
      <w:ind w:firstLine="851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qFormat/>
    <w:pPr>
      <w:widowControl w:val="0"/>
    </w:pPr>
    <w:rPr>
      <w:rFonts w:eastAsia="Times New Roman" w:cs="Calibri"/>
      <w:sz w:val="20"/>
      <w:szCs w:val="20"/>
      <w:lang w:eastAsia="ru-RU"/>
    </w:rPr>
  </w:style>
  <w:style w:type="paragraph" w:customStyle="1" w:styleId="aff">
    <w:name w:val="Содержимое таблицы"/>
    <w:basedOn w:val="a"/>
    <w:qFormat/>
    <w:pPr>
      <w:suppressLineNumbers/>
    </w:pPr>
  </w:style>
  <w:style w:type="paragraph" w:customStyle="1" w:styleId="aff0">
    <w:name w:val="Заголовок таблицы"/>
    <w:basedOn w:val="aff"/>
    <w:qFormat/>
    <w:pPr>
      <w:jc w:val="center"/>
    </w:pPr>
    <w:rPr>
      <w:b/>
      <w:bCs/>
    </w:rPr>
  </w:style>
  <w:style w:type="paragraph" w:customStyle="1" w:styleId="ConsPlusTitlePage">
    <w:name w:val="ConsPlusTitlePage"/>
    <w:qFormat/>
    <w:pPr>
      <w:widowControl w:val="0"/>
    </w:pPr>
    <w:rPr>
      <w:rFonts w:ascii="Tahoma" w:eastAsiaTheme="minorEastAsia" w:hAnsi="Tahoma" w:cs="Tahoma"/>
      <w:lang w:eastAsia="ru-RU"/>
    </w:rPr>
  </w:style>
  <w:style w:type="table" w:styleId="aff1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2F2F2"/>
      </w:tcPr>
    </w:tblStylePr>
    <w:tblStylePr w:type="band1Horz">
      <w:tblPr/>
      <w:tcPr>
        <w:shd w:val="clear" w:color="FFFFFF" w:fill="F2F2F2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2F2"/>
      </w:tcPr>
    </w:tblStylePr>
    <w:tblStylePr w:type="band1Horz">
      <w:rPr>
        <w:color w:val="404040"/>
        <w:sz w:val="22"/>
      </w:rPr>
      <w:tblPr/>
      <w:tcPr>
        <w:shd w:val="clear" w:color="FFFFFF" w:fill="F2F2F2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F2F2"/>
      </w:tcPr>
    </w:tblStylePr>
    <w:tblStylePr w:type="band1Horz">
      <w:rPr>
        <w:color w:val="404040"/>
        <w:sz w:val="22"/>
      </w:rPr>
      <w:tblPr/>
      <w:tcPr>
        <w:shd w:val="clear" w:color="FFFFFF" w:fill="F2F2F2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2F2F2"/>
      </w:tcPr>
    </w:tblStylePr>
    <w:tblStylePr w:type="band1Horz">
      <w:rPr>
        <w:color w:val="404040"/>
        <w:sz w:val="22"/>
      </w:rPr>
      <w:tblPr/>
      <w:tcPr>
        <w:shd w:val="clear" w:color="FFFFFF" w:fill="F2F2F2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/>
      </w:tcPr>
    </w:tblStylePr>
    <w:tblStylePr w:type="band1Horz">
      <w:rPr>
        <w:color w:val="404040"/>
        <w:sz w:val="22"/>
      </w:rPr>
      <w:tblPr/>
      <w:tcPr>
        <w:shd w:val="clear" w:color="FFFFFF" w:fill="CBCBCB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5F1"/>
      </w:tcPr>
    </w:tblStylePr>
    <w:tblStylePr w:type="band1Horz">
      <w:rPr>
        <w:color w:val="404040"/>
        <w:sz w:val="22"/>
      </w:rPr>
      <w:tblPr/>
      <w:tcPr>
        <w:shd w:val="clear" w:color="FFFFFF" w:fill="DAE5F1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/>
      </w:tcPr>
    </w:tblStylePr>
    <w:tblStylePr w:type="band1Horz">
      <w:rPr>
        <w:color w:val="404040"/>
        <w:sz w:val="22"/>
      </w:rPr>
      <w:tblPr/>
      <w:tcPr>
        <w:shd w:val="clear" w:color="FFFFFF" w:fill="F2DCDC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/>
      </w:tcPr>
    </w:tblStylePr>
    <w:tblStylePr w:type="band1Horz">
      <w:rPr>
        <w:color w:val="404040"/>
        <w:sz w:val="22"/>
      </w:rPr>
      <w:tblPr/>
      <w:tcPr>
        <w:shd w:val="clear" w:color="FFFFFF" w:fill="EAF1DC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/>
      </w:tcPr>
    </w:tblStylePr>
    <w:tblStylePr w:type="band1Horz">
      <w:rPr>
        <w:color w:val="404040"/>
        <w:sz w:val="22"/>
      </w:rPr>
      <w:tblPr/>
      <w:tcPr>
        <w:shd w:val="clear" w:color="FFFFFF" w:fill="E5DFEC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/>
      </w:tcPr>
    </w:tblStylePr>
    <w:tblStylePr w:type="band1Horz">
      <w:rPr>
        <w:color w:val="404040"/>
        <w:sz w:val="22"/>
      </w:rPr>
      <w:tblPr/>
      <w:tcPr>
        <w:shd w:val="clear" w:color="FFFFFF" w:fill="DAEEF3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/>
      </w:tcPr>
    </w:tblStylePr>
    <w:tblStylePr w:type="band1Horz">
      <w:rPr>
        <w:color w:val="404040"/>
        <w:sz w:val="22"/>
      </w:rPr>
      <w:tblPr/>
      <w:tcPr>
        <w:shd w:val="clear" w:color="FFFFFF" w:fill="FDE9D8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/>
      </w:tcPr>
    </w:tblStylePr>
    <w:tblStylePr w:type="band1Horz">
      <w:rPr>
        <w:color w:val="404040"/>
        <w:sz w:val="22"/>
      </w:rPr>
      <w:tblPr/>
      <w:tcPr>
        <w:shd w:val="clear" w:color="FFFFFF" w:fill="CBCBCB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5F1"/>
      </w:tcPr>
    </w:tblStylePr>
    <w:tblStylePr w:type="band1Horz">
      <w:rPr>
        <w:color w:val="404040"/>
        <w:sz w:val="22"/>
      </w:rPr>
      <w:tblPr/>
      <w:tcPr>
        <w:shd w:val="clear" w:color="FFFFFF" w:fill="DAE5F1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2DCDC"/>
      </w:tcPr>
    </w:tblStylePr>
    <w:tblStylePr w:type="band1Horz">
      <w:rPr>
        <w:color w:val="404040"/>
        <w:sz w:val="22"/>
      </w:rPr>
      <w:tblPr/>
      <w:tcPr>
        <w:shd w:val="clear" w:color="FFFFFF" w:fill="F2DCDC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AF1DC"/>
      </w:tcPr>
    </w:tblStylePr>
    <w:tblStylePr w:type="band1Horz">
      <w:rPr>
        <w:color w:val="404040"/>
        <w:sz w:val="22"/>
      </w:rPr>
      <w:tblPr/>
      <w:tcPr>
        <w:shd w:val="clear" w:color="FFFFFF" w:fill="EAF1DC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5DFEC"/>
      </w:tcPr>
    </w:tblStylePr>
    <w:tblStylePr w:type="band1Horz">
      <w:rPr>
        <w:color w:val="404040"/>
        <w:sz w:val="22"/>
      </w:rPr>
      <w:tblPr/>
      <w:tcPr>
        <w:shd w:val="clear" w:color="FFFFFF" w:fill="E5DFEC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EF3"/>
      </w:tcPr>
    </w:tblStylePr>
    <w:tblStylePr w:type="band1Horz">
      <w:rPr>
        <w:color w:val="404040"/>
        <w:sz w:val="22"/>
      </w:rPr>
      <w:tblPr/>
      <w:tcPr>
        <w:shd w:val="clear" w:color="FFFFFF" w:fill="DAEEF3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E9D8"/>
      </w:tcPr>
    </w:tblStylePr>
    <w:tblStylePr w:type="band1Horz">
      <w:rPr>
        <w:color w:val="404040"/>
        <w:sz w:val="22"/>
      </w:rPr>
      <w:tblPr/>
      <w:tcPr>
        <w:shd w:val="clear" w:color="FFFFFF" w:fill="FDE9D8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/>
      </w:tcPr>
    </w:tblStylePr>
    <w:tblStylePr w:type="band1Horz">
      <w:rPr>
        <w:color w:val="404040"/>
        <w:sz w:val="22"/>
      </w:rPr>
      <w:tblPr/>
      <w:tcPr>
        <w:shd w:val="clear" w:color="FFFFFF" w:fill="CBCBCB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CE6F2"/>
      </w:tcPr>
    </w:tblStylePr>
    <w:tblStylePr w:type="band1Horz">
      <w:rPr>
        <w:color w:val="404040"/>
        <w:sz w:val="22"/>
      </w:rPr>
      <w:tblPr/>
      <w:tcPr>
        <w:shd w:val="clear" w:color="FFFFFF" w:fill="DCE6F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/>
      </w:tcPr>
    </w:tblStylePr>
    <w:tblStylePr w:type="band1Horz">
      <w:rPr>
        <w:color w:val="404040"/>
        <w:sz w:val="22"/>
      </w:rPr>
      <w:tblPr/>
      <w:tcPr>
        <w:shd w:val="clear" w:color="FFFFFF" w:fill="F2DCDC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/>
      </w:tcPr>
    </w:tblStylePr>
    <w:tblStylePr w:type="band1Horz">
      <w:rPr>
        <w:color w:val="404040"/>
        <w:sz w:val="22"/>
      </w:rPr>
      <w:tblPr/>
      <w:tcPr>
        <w:shd w:val="clear" w:color="FFFFFF" w:fill="EAF1DC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/>
      </w:tcPr>
    </w:tblStylePr>
    <w:tblStylePr w:type="band1Horz">
      <w:rPr>
        <w:color w:val="404040"/>
        <w:sz w:val="22"/>
      </w:rPr>
      <w:tblPr/>
      <w:tcPr>
        <w:shd w:val="clear" w:color="FFFFFF" w:fill="E5DFEC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/>
      </w:tcPr>
    </w:tblStylePr>
    <w:tblStylePr w:type="band1Horz">
      <w:rPr>
        <w:color w:val="404040"/>
        <w:sz w:val="22"/>
      </w:rPr>
      <w:tblPr/>
      <w:tcPr>
        <w:shd w:val="clear" w:color="FFFFFF" w:fill="DAEEF3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/>
      </w:tcPr>
    </w:tblStylePr>
    <w:tblStylePr w:type="band1Horz">
      <w:rPr>
        <w:color w:val="404040"/>
        <w:sz w:val="22"/>
      </w:rPr>
      <w:tblPr/>
      <w:tcPr>
        <w:shd w:val="clear" w:color="FFFFFF" w:fill="FDE9D8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/>
      </w:tcPr>
    </w:tblStylePr>
    <w:tblStylePr w:type="firstCol">
      <w:rPr>
        <w:b/>
        <w:color w:val="FFFFFF"/>
        <w:sz w:val="22"/>
      </w:rPr>
      <w:tblPr/>
      <w:tcPr>
        <w:shd w:val="clear" w:color="FFFFFF" w:fill="000000"/>
      </w:tcPr>
    </w:tblStylePr>
    <w:tblStylePr w:type="lastCol">
      <w:rPr>
        <w:b/>
        <w:color w:val="FFFFFF"/>
        <w:sz w:val="22"/>
      </w:rPr>
      <w:tblPr/>
      <w:tcPr>
        <w:shd w:val="clear" w:color="FFFFFF" w:fill="000000"/>
      </w:tcPr>
    </w:tblStylePr>
    <w:tblStylePr w:type="band1Vert">
      <w:tblPr/>
      <w:tcPr>
        <w:shd w:val="clear" w:color="FFFFFF" w:fill="8A8A8A"/>
      </w:tcPr>
    </w:tblStylePr>
    <w:tblStylePr w:type="band1Horz">
      <w:tblPr/>
      <w:tcPr>
        <w:shd w:val="clear" w:color="FFFFFF" w:fill="8A8A8A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/>
      </w:tcPr>
    </w:tblStylePr>
    <w:tblStylePr w:type="firstCol">
      <w:rPr>
        <w:b/>
        <w:color w:val="FFFFFF"/>
        <w:sz w:val="22"/>
      </w:rPr>
      <w:tblPr/>
      <w:tcPr>
        <w:shd w:val="clear" w:color="FFFFFF" w:fill="4F81BD"/>
      </w:tcPr>
    </w:tblStylePr>
    <w:tblStylePr w:type="lastCol">
      <w:rPr>
        <w:b/>
        <w:color w:val="FFFFFF"/>
        <w:sz w:val="22"/>
      </w:rPr>
      <w:tblPr/>
      <w:tcPr>
        <w:shd w:val="clear" w:color="FFFFFF" w:fill="4F81BD"/>
      </w:tcPr>
    </w:tblStylePr>
    <w:tblStylePr w:type="band1Vert">
      <w:tblPr/>
      <w:tcPr>
        <w:shd w:val="clear" w:color="FFFFFF" w:fill="AEC4E0"/>
      </w:tcPr>
    </w:tblStylePr>
    <w:tblStylePr w:type="band1Horz">
      <w:tblPr/>
      <w:tcPr>
        <w:shd w:val="clear" w:color="FFFFFF" w:fill="AEC4E0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/>
      </w:tcPr>
    </w:tblStylePr>
    <w:tblStylePr w:type="firstCol">
      <w:rPr>
        <w:b/>
        <w:color w:val="FFFFFF"/>
        <w:sz w:val="22"/>
      </w:rPr>
      <w:tblPr/>
      <w:tcPr>
        <w:shd w:val="clear" w:color="FFFFFF" w:fill="C0504D"/>
      </w:tcPr>
    </w:tblStylePr>
    <w:tblStylePr w:type="lastCol">
      <w:rPr>
        <w:b/>
        <w:color w:val="FFFFFF"/>
        <w:sz w:val="22"/>
      </w:rPr>
      <w:tblPr/>
      <w:tcPr>
        <w:shd w:val="clear" w:color="FFFFFF" w:fill="C0504D"/>
      </w:tcPr>
    </w:tblStylePr>
    <w:tblStylePr w:type="band1Vert">
      <w:tblPr/>
      <w:tcPr>
        <w:shd w:val="clear" w:color="FFFFFF" w:fill="E2AEAD"/>
      </w:tcPr>
    </w:tblStylePr>
    <w:tblStylePr w:type="band1Horz">
      <w:tblPr/>
      <w:tcPr>
        <w:shd w:val="clear" w:color="FFFFFF" w:fill="E2AEAD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/>
      </w:tcPr>
    </w:tblStylePr>
    <w:tblStylePr w:type="firstCol">
      <w:rPr>
        <w:b/>
        <w:color w:val="FFFFFF"/>
        <w:sz w:val="22"/>
      </w:rPr>
      <w:tblPr/>
      <w:tcPr>
        <w:shd w:val="clear" w:color="FFFFFF" w:fill="9BBB59"/>
      </w:tcPr>
    </w:tblStylePr>
    <w:tblStylePr w:type="lastCol">
      <w:rPr>
        <w:b/>
        <w:color w:val="FFFFFF"/>
        <w:sz w:val="22"/>
      </w:rPr>
      <w:tblPr/>
      <w:tcPr>
        <w:shd w:val="clear" w:color="FFFFFF" w:fill="9BBB59"/>
      </w:tcPr>
    </w:tblStylePr>
    <w:tblStylePr w:type="band1Vert">
      <w:tblPr/>
      <w:tcPr>
        <w:shd w:val="clear" w:color="FFFFFF" w:fill="D0DFB2"/>
      </w:tcPr>
    </w:tblStylePr>
    <w:tblStylePr w:type="band1Horz">
      <w:tblPr/>
      <w:tcPr>
        <w:shd w:val="clear" w:color="FFFFFF" w:fill="D0DFB2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/>
      </w:tcPr>
    </w:tblStylePr>
    <w:tblStylePr w:type="firstCol">
      <w:rPr>
        <w:b/>
        <w:color w:val="FFFFFF"/>
        <w:sz w:val="22"/>
      </w:rPr>
      <w:tblPr/>
      <w:tcPr>
        <w:shd w:val="clear" w:color="FFFFFF" w:fill="8064A2"/>
      </w:tcPr>
    </w:tblStylePr>
    <w:tblStylePr w:type="lastCol">
      <w:rPr>
        <w:b/>
        <w:color w:val="FFFFFF"/>
        <w:sz w:val="22"/>
      </w:rPr>
      <w:tblPr/>
      <w:tcPr>
        <w:shd w:val="clear" w:color="FFFFFF" w:fill="8064A2"/>
      </w:tcPr>
    </w:tblStylePr>
    <w:tblStylePr w:type="band1Vert">
      <w:tblPr/>
      <w:tcPr>
        <w:shd w:val="clear" w:color="FFFFFF" w:fill="C4B7D4"/>
      </w:tcPr>
    </w:tblStylePr>
    <w:tblStylePr w:type="band1Horz">
      <w:tblPr/>
      <w:tcPr>
        <w:shd w:val="clear" w:color="FFFFFF" w:fill="C4B7D4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/>
      </w:tcPr>
    </w:tblStylePr>
    <w:tblStylePr w:type="firstCol">
      <w:rPr>
        <w:b/>
        <w:color w:val="FFFFFF"/>
        <w:sz w:val="22"/>
      </w:rPr>
      <w:tblPr/>
      <w:tcPr>
        <w:shd w:val="clear" w:color="FFFFFF" w:fill="4BACC6"/>
      </w:tcPr>
    </w:tblStylePr>
    <w:tblStylePr w:type="lastCol">
      <w:rPr>
        <w:b/>
        <w:color w:val="FFFFFF"/>
        <w:sz w:val="22"/>
      </w:rPr>
      <w:tblPr/>
      <w:tcPr>
        <w:shd w:val="clear" w:color="FFFFFF" w:fill="4BACC6"/>
      </w:tcPr>
    </w:tblStylePr>
    <w:tblStylePr w:type="band1Vert">
      <w:tblPr/>
      <w:tcPr>
        <w:shd w:val="clear" w:color="FFFFFF" w:fill="ACD8E4"/>
      </w:tcPr>
    </w:tblStylePr>
    <w:tblStylePr w:type="band1Horz">
      <w:tblPr/>
      <w:tcPr>
        <w:shd w:val="clear" w:color="FFFFFF" w:fill="ACD8E4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/>
      </w:tcPr>
    </w:tblStylePr>
    <w:tblStylePr w:type="firstCol">
      <w:rPr>
        <w:b/>
        <w:color w:val="FFFFFF"/>
        <w:sz w:val="22"/>
      </w:rPr>
      <w:tblPr/>
      <w:tcPr>
        <w:shd w:val="clear" w:color="FFFFFF" w:fill="F79646"/>
      </w:tcPr>
    </w:tblStylePr>
    <w:tblStylePr w:type="lastCol">
      <w:rPr>
        <w:b/>
        <w:color w:val="FFFFFF"/>
        <w:sz w:val="22"/>
      </w:rPr>
      <w:tblPr/>
      <w:tcPr>
        <w:shd w:val="clear" w:color="FFFFFF" w:fill="F79646"/>
      </w:tcPr>
    </w:tblStylePr>
    <w:tblStylePr w:type="band1Vert">
      <w:tblPr/>
      <w:tcPr>
        <w:shd w:val="clear" w:color="FFFFFF" w:fill="FBCEAA"/>
      </w:tcPr>
    </w:tblStylePr>
    <w:tblStylePr w:type="band1Horz">
      <w:tblPr/>
      <w:tcPr>
        <w:shd w:val="clear" w:color="FFFFFF" w:fill="FBCEAA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F2F2F2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DAE5F1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 w:themeColor="accent2"/>
          <w:right w:val="none" w:sz="0" w:space="0" w:color="auto"/>
        </w:tcBorders>
        <w:shd w:val="clear" w:color="FFFFFF" w:fill="FFFFFF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C0504D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F2DCDC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</w:tcBorders>
        <w:shd w:val="clear" w:color="FFFFFF" w:fill="FFFFFF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BBB59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EAF1DC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 w:themeColor="accent4"/>
          <w:right w:val="none" w:sz="0" w:space="0" w:color="auto"/>
        </w:tcBorders>
        <w:shd w:val="clear" w:color="FFFFFF" w:fill="FFFFFF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8064A2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E5DFEC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 w:themeColor="accent5"/>
          <w:right w:val="none" w:sz="0" w:space="0" w:color="auto"/>
        </w:tcBorders>
        <w:shd w:val="clear" w:color="FFFFFF" w:fill="FFFFFF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4BACC6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DAEEF3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 w:themeColor="accent6"/>
          <w:right w:val="none" w:sz="0" w:space="0" w:color="auto"/>
        </w:tcBorders>
        <w:shd w:val="clear" w:color="FFFFFF" w:fill="FFFFFF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79646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FDE9D8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/>
      </w:tcPr>
    </w:tblStylePr>
    <w:tblStylePr w:type="band1Horz">
      <w:tblPr/>
      <w:tcPr>
        <w:shd w:val="clear" w:color="FFFFFF" w:fill="BFBFBF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/>
      </w:tcPr>
    </w:tblStylePr>
    <w:tblStylePr w:type="band1Horz">
      <w:tblPr/>
      <w:tcPr>
        <w:shd w:val="clear" w:color="FFFFFF" w:fill="D2DFEE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/>
      </w:tcPr>
    </w:tblStylePr>
    <w:tblStylePr w:type="band1Horz">
      <w:tblPr/>
      <w:tcPr>
        <w:shd w:val="clear" w:color="FFFFFF" w:fill="EFD2D2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/>
      </w:tcPr>
    </w:tblStylePr>
    <w:tblStylePr w:type="band1Horz">
      <w:tblPr/>
      <w:tcPr>
        <w:shd w:val="clear" w:color="FFFFFF" w:fill="E5EED5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/>
      </w:tcPr>
    </w:tblStylePr>
    <w:tblStylePr w:type="band1Horz">
      <w:tblPr/>
      <w:tcPr>
        <w:shd w:val="clear" w:color="FFFFFF" w:fill="DFD8E7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/>
      </w:tcPr>
    </w:tblStylePr>
    <w:tblStylePr w:type="band1Horz">
      <w:tblPr/>
      <w:tcPr>
        <w:shd w:val="clear" w:color="FFFFFF" w:fill="D1EAF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/>
      </w:tcPr>
    </w:tblStylePr>
    <w:tblStylePr w:type="band1Horz">
      <w:tblPr/>
      <w:tcPr>
        <w:shd w:val="clear" w:color="FFFFFF" w:fill="FDE4D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/>
      </w:tcPr>
    </w:tblStylePr>
    <w:tblStylePr w:type="band1Horz">
      <w:rPr>
        <w:color w:val="404040"/>
        <w:sz w:val="22"/>
      </w:rPr>
      <w:tblPr/>
      <w:tcPr>
        <w:shd w:val="clear" w:color="FFFFFF" w:fill="BFBFBF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2DFEE"/>
      </w:tcPr>
    </w:tblStylePr>
    <w:tblStylePr w:type="band1Horz">
      <w:rPr>
        <w:color w:val="404040"/>
        <w:sz w:val="22"/>
      </w:rPr>
      <w:tblPr/>
      <w:tcPr>
        <w:shd w:val="clear" w:color="FFFFFF" w:fill="D2DFEE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FD2D2"/>
      </w:tcPr>
    </w:tblStylePr>
    <w:tblStylePr w:type="band1Horz">
      <w:rPr>
        <w:color w:val="404040"/>
        <w:sz w:val="22"/>
      </w:rPr>
      <w:tblPr/>
      <w:tcPr>
        <w:shd w:val="clear" w:color="FFFFFF" w:fill="EFD2D2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5EED5"/>
      </w:tcPr>
    </w:tblStylePr>
    <w:tblStylePr w:type="band1Horz">
      <w:rPr>
        <w:color w:val="404040"/>
        <w:sz w:val="22"/>
      </w:rPr>
      <w:tblPr/>
      <w:tcPr>
        <w:shd w:val="clear" w:color="FFFFFF" w:fill="E5EED5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FD8E7"/>
      </w:tcPr>
    </w:tblStylePr>
    <w:tblStylePr w:type="band1Horz">
      <w:rPr>
        <w:color w:val="404040"/>
        <w:sz w:val="22"/>
      </w:rPr>
      <w:tblPr/>
      <w:tcPr>
        <w:shd w:val="clear" w:color="FFFFFF" w:fill="DFD8E7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1EAF0"/>
      </w:tcPr>
    </w:tblStylePr>
    <w:tblStylePr w:type="band1Horz">
      <w:rPr>
        <w:color w:val="404040"/>
        <w:sz w:val="22"/>
      </w:rPr>
      <w:tblPr/>
      <w:tcPr>
        <w:shd w:val="clear" w:color="FFFFFF" w:fill="D1EAF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E4D0"/>
      </w:tcPr>
    </w:tblStylePr>
    <w:tblStylePr w:type="band1Horz">
      <w:rPr>
        <w:color w:val="404040"/>
        <w:sz w:val="22"/>
      </w:rPr>
      <w:tblPr/>
      <w:tcPr>
        <w:shd w:val="clear" w:color="FFFFFF" w:fill="FDE4D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/>
      </w:tcPr>
    </w:tblStylePr>
    <w:tblStylePr w:type="band1Horz">
      <w:rPr>
        <w:color w:val="404040"/>
        <w:sz w:val="22"/>
      </w:rPr>
      <w:tblPr/>
      <w:tcPr>
        <w:shd w:val="clear" w:color="FFFFFF" w:fill="BFBFBF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2DFEE"/>
      </w:tcPr>
    </w:tblStylePr>
    <w:tblStylePr w:type="band1Horz">
      <w:rPr>
        <w:color w:val="404040"/>
        <w:sz w:val="22"/>
      </w:rPr>
      <w:tblPr/>
      <w:tcPr>
        <w:shd w:val="clear" w:color="FFFFFF" w:fill="D2DFEE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FD2D2"/>
      </w:tcPr>
    </w:tblStylePr>
    <w:tblStylePr w:type="band1Horz">
      <w:rPr>
        <w:color w:val="404040"/>
        <w:sz w:val="22"/>
      </w:rPr>
      <w:tblPr/>
      <w:tcPr>
        <w:shd w:val="clear" w:color="FFFFFF" w:fill="EFD2D2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EED5"/>
      </w:tcPr>
    </w:tblStylePr>
    <w:tblStylePr w:type="band1Horz">
      <w:rPr>
        <w:color w:val="404040"/>
        <w:sz w:val="22"/>
      </w:rPr>
      <w:tblPr/>
      <w:tcPr>
        <w:shd w:val="clear" w:color="FFFFFF" w:fill="E5EED5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FD8E7"/>
      </w:tcPr>
    </w:tblStylePr>
    <w:tblStylePr w:type="band1Horz">
      <w:rPr>
        <w:color w:val="404040"/>
        <w:sz w:val="22"/>
      </w:rPr>
      <w:tblPr/>
      <w:tcPr>
        <w:shd w:val="clear" w:color="FFFFFF" w:fill="DFD8E7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1EAF0"/>
      </w:tcPr>
    </w:tblStylePr>
    <w:tblStylePr w:type="band1Horz">
      <w:rPr>
        <w:color w:val="404040"/>
        <w:sz w:val="22"/>
      </w:rPr>
      <w:tblPr/>
      <w:tcPr>
        <w:shd w:val="clear" w:color="FFFFFF" w:fill="D1EAF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4D0"/>
      </w:tcPr>
    </w:tblStylePr>
    <w:tblStylePr w:type="band1Horz">
      <w:rPr>
        <w:color w:val="404040"/>
        <w:sz w:val="22"/>
      </w:rPr>
      <w:tblPr/>
      <w:tcPr>
        <w:shd w:val="clear" w:color="FFFFFF" w:fill="FDE4D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BFBFBF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D2DFEE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 w:themeColor="accent2"/>
          <w:right w:val="none" w:sz="0" w:space="0" w:color="auto"/>
        </w:tcBorders>
        <w:shd w:val="clear" w:color="FFFFFF" w:fill="FFFFFF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C0504D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EFD2D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</w:tcBorders>
        <w:shd w:val="clear" w:color="FFFFFF" w:fill="FFFFFF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9BBB59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E5EED5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 w:themeColor="accent4"/>
          <w:right w:val="none" w:sz="0" w:space="0" w:color="auto"/>
        </w:tcBorders>
        <w:shd w:val="clear" w:color="FFFFFF" w:fill="FFFFFF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8064A2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DFD8E7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 w:themeColor="accent5"/>
          <w:right w:val="none" w:sz="0" w:space="0" w:color="auto"/>
        </w:tcBorders>
        <w:shd w:val="clear" w:color="FFFFFF" w:fill="FFFFFF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4BACC6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D1EAF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 w:themeColor="accent6"/>
          <w:right w:val="none" w:sz="0" w:space="0" w:color="auto"/>
        </w:tcBorders>
        <w:shd w:val="clear" w:color="FFFFFF" w:fill="FFFFFF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79646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fill="FDE4D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/>
      </w:tcPr>
    </w:tblStylePr>
    <w:tblStylePr w:type="lastRow">
      <w:rPr>
        <w:color w:val="F2F2F2"/>
        <w:sz w:val="22"/>
      </w:rPr>
      <w:tblPr/>
      <w:tcPr>
        <w:shd w:val="clear" w:color="FFFFFF" w:fill="7F7F7F"/>
      </w:tcPr>
    </w:tblStylePr>
    <w:tblStylePr w:type="firstCol">
      <w:rPr>
        <w:color w:val="F2F2F2"/>
        <w:sz w:val="22"/>
      </w:rPr>
      <w:tblPr/>
      <w:tcPr>
        <w:shd w:val="clear" w:color="FFFFFF" w:fill="7F7F7F"/>
      </w:tcPr>
    </w:tblStylePr>
    <w:tblStylePr w:type="lastCol">
      <w:rPr>
        <w:color w:val="F2F2F2"/>
        <w:sz w:val="22"/>
      </w:rPr>
      <w:tblPr/>
      <w:tcPr>
        <w:shd w:val="clear" w:color="FFFFFF" w:fill="7F7F7F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2F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2F2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/>
      </w:tcPr>
    </w:tblStylePr>
    <w:tblStylePr w:type="lastRow">
      <w:rPr>
        <w:color w:val="F2F2F2"/>
        <w:sz w:val="22"/>
      </w:rPr>
      <w:tblPr/>
      <w:tcPr>
        <w:shd w:val="clear" w:color="FFFFFF" w:fill="5D8AC2"/>
      </w:tcPr>
    </w:tblStylePr>
    <w:tblStylePr w:type="firstCol">
      <w:rPr>
        <w:color w:val="F2F2F2"/>
        <w:sz w:val="22"/>
      </w:rPr>
      <w:tblPr/>
      <w:tcPr>
        <w:shd w:val="clear" w:color="FFFFFF" w:fill="5D8AC2"/>
      </w:tcPr>
    </w:tblStylePr>
    <w:tblStylePr w:type="lastCol">
      <w:rPr>
        <w:color w:val="F2F2F2"/>
        <w:sz w:val="22"/>
      </w:rPr>
      <w:tblPr/>
      <w:tcPr>
        <w:shd w:val="clear" w:color="FFFFFF" w:fill="5D8AC2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/>
      </w:tcPr>
    </w:tblStylePr>
    <w:tblStylePr w:type="lastRow">
      <w:rPr>
        <w:color w:val="F2F2F2"/>
        <w:sz w:val="22"/>
      </w:rPr>
      <w:tblPr/>
      <w:tcPr>
        <w:shd w:val="clear" w:color="FFFFFF" w:fill="D99695"/>
      </w:tcPr>
    </w:tblStylePr>
    <w:tblStylePr w:type="firstCol">
      <w:rPr>
        <w:color w:val="F2F2F2"/>
        <w:sz w:val="22"/>
      </w:rPr>
      <w:tblPr/>
      <w:tcPr>
        <w:shd w:val="clear" w:color="FFFFFF" w:fill="D99695"/>
      </w:tcPr>
    </w:tblStylePr>
    <w:tblStylePr w:type="lastCol">
      <w:rPr>
        <w:color w:val="F2F2F2"/>
        <w:sz w:val="22"/>
      </w:rPr>
      <w:tblPr/>
      <w:tcPr>
        <w:shd w:val="clear" w:color="FFFFFF" w:fill="D9969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/>
      </w:tcPr>
    </w:tblStylePr>
    <w:tblStylePr w:type="lastRow">
      <w:rPr>
        <w:color w:val="F2F2F2"/>
        <w:sz w:val="22"/>
      </w:rPr>
      <w:tblPr/>
      <w:tcPr>
        <w:shd w:val="clear" w:color="FFFFFF" w:fill="9ABB59"/>
      </w:tcPr>
    </w:tblStylePr>
    <w:tblStylePr w:type="firstCol">
      <w:rPr>
        <w:color w:val="F2F2F2"/>
        <w:sz w:val="22"/>
      </w:rPr>
      <w:tblPr/>
      <w:tcPr>
        <w:shd w:val="clear" w:color="FFFFFF" w:fill="9ABB59"/>
      </w:tcPr>
    </w:tblStylePr>
    <w:tblStylePr w:type="lastCol">
      <w:rPr>
        <w:color w:val="F2F2F2"/>
        <w:sz w:val="22"/>
      </w:rPr>
      <w:tblPr/>
      <w:tcPr>
        <w:shd w:val="clear" w:color="FFFFFF" w:fill="9ABB59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/>
      </w:tcPr>
    </w:tblStylePr>
    <w:tblStylePr w:type="lastRow">
      <w:rPr>
        <w:color w:val="F2F2F2"/>
        <w:sz w:val="22"/>
      </w:rPr>
      <w:tblPr/>
      <w:tcPr>
        <w:shd w:val="clear" w:color="FFFFFF" w:fill="B2A1C6"/>
      </w:tcPr>
    </w:tblStylePr>
    <w:tblStylePr w:type="firstCol">
      <w:rPr>
        <w:color w:val="F2F2F2"/>
        <w:sz w:val="22"/>
      </w:rPr>
      <w:tblPr/>
      <w:tcPr>
        <w:shd w:val="clear" w:color="FFFFFF" w:fill="B2A1C6"/>
      </w:tcPr>
    </w:tblStylePr>
    <w:tblStylePr w:type="lastCol">
      <w:rPr>
        <w:color w:val="F2F2F2"/>
        <w:sz w:val="22"/>
      </w:rPr>
      <w:tblPr/>
      <w:tcPr>
        <w:shd w:val="clear" w:color="FFFFFF" w:fill="B2A1C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/>
      </w:tcPr>
    </w:tblStylePr>
    <w:tblStylePr w:type="lastRow">
      <w:rPr>
        <w:color w:val="F2F2F2"/>
        <w:sz w:val="22"/>
      </w:rPr>
      <w:tblPr/>
      <w:tcPr>
        <w:shd w:val="clear" w:color="FFFFFF" w:fill="4BACC6"/>
      </w:tcPr>
    </w:tblStylePr>
    <w:tblStylePr w:type="firstCol">
      <w:rPr>
        <w:color w:val="F2F2F2"/>
        <w:sz w:val="22"/>
      </w:rPr>
      <w:tblPr/>
      <w:tcPr>
        <w:shd w:val="clear" w:color="FFFFFF" w:fill="4BACC6"/>
      </w:tcPr>
    </w:tblStylePr>
    <w:tblStylePr w:type="lastCol">
      <w:rPr>
        <w:color w:val="F2F2F2"/>
        <w:sz w:val="22"/>
      </w:rPr>
      <w:tblPr/>
      <w:tcPr>
        <w:shd w:val="clear" w:color="FFFFFF" w:fill="4BACC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/>
      </w:tcPr>
    </w:tblStylePr>
    <w:tblStylePr w:type="lastRow">
      <w:rPr>
        <w:color w:val="F2F2F2"/>
        <w:sz w:val="22"/>
      </w:rPr>
      <w:tblPr/>
      <w:tcPr>
        <w:shd w:val="clear" w:color="FFFFFF" w:fill="F79646"/>
      </w:tcPr>
    </w:tblStylePr>
    <w:tblStylePr w:type="firstCol">
      <w:rPr>
        <w:color w:val="F2F2F2"/>
        <w:sz w:val="22"/>
      </w:rPr>
      <w:tblPr/>
      <w:tcPr>
        <w:shd w:val="clear" w:color="FFFFFF" w:fill="F79646"/>
      </w:tcPr>
    </w:tblStylePr>
    <w:tblStylePr w:type="lastCol">
      <w:rPr>
        <w:color w:val="F2F2F2"/>
        <w:sz w:val="22"/>
      </w:rPr>
      <w:tblPr/>
      <w:tcPr>
        <w:shd w:val="clear" w:color="FFFFFF" w:fill="F7964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/>
      </w:tcPr>
    </w:tblStylePr>
    <w:tblStylePr w:type="lastRow">
      <w:rPr>
        <w:color w:val="F2F2F2"/>
        <w:sz w:val="22"/>
      </w:rPr>
      <w:tblPr/>
      <w:tcPr>
        <w:shd w:val="clear" w:color="FFFFFF" w:fill="7F7F7F"/>
      </w:tcPr>
    </w:tblStylePr>
    <w:tblStylePr w:type="firstCol">
      <w:rPr>
        <w:color w:val="F2F2F2"/>
        <w:sz w:val="22"/>
      </w:rPr>
      <w:tblPr/>
      <w:tcPr>
        <w:shd w:val="clear" w:color="FFFFFF" w:fill="7F7F7F"/>
      </w:tcPr>
    </w:tblStylePr>
    <w:tblStylePr w:type="lastCol">
      <w:rPr>
        <w:color w:val="F2F2F2"/>
        <w:sz w:val="22"/>
      </w:rPr>
      <w:tblPr/>
      <w:tcPr>
        <w:shd w:val="clear" w:color="FFFFFF" w:fill="7F7F7F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F2F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F2F2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/>
      </w:tcPr>
    </w:tblStylePr>
    <w:tblStylePr w:type="lastRow">
      <w:rPr>
        <w:color w:val="F2F2F2"/>
        <w:sz w:val="22"/>
      </w:rPr>
      <w:tblPr/>
      <w:tcPr>
        <w:shd w:val="clear" w:color="FFFFFF" w:fill="5D8AC2"/>
      </w:tcPr>
    </w:tblStylePr>
    <w:tblStylePr w:type="firstCol">
      <w:rPr>
        <w:color w:val="F2F2F2"/>
        <w:sz w:val="22"/>
      </w:rPr>
      <w:tblPr/>
      <w:tcPr>
        <w:shd w:val="clear" w:color="FFFFFF" w:fill="5D8AC2"/>
      </w:tcPr>
    </w:tblStylePr>
    <w:tblStylePr w:type="lastCol">
      <w:rPr>
        <w:color w:val="F2F2F2"/>
        <w:sz w:val="22"/>
      </w:rPr>
      <w:tblPr/>
      <w:tcPr>
        <w:shd w:val="clear" w:color="FFFFFF" w:fill="5D8AC2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/>
      </w:tcPr>
    </w:tblStylePr>
    <w:tblStylePr w:type="lastRow">
      <w:rPr>
        <w:color w:val="F2F2F2"/>
        <w:sz w:val="22"/>
      </w:rPr>
      <w:tblPr/>
      <w:tcPr>
        <w:shd w:val="clear" w:color="FFFFFF" w:fill="D99695"/>
      </w:tcPr>
    </w:tblStylePr>
    <w:tblStylePr w:type="firstCol">
      <w:rPr>
        <w:color w:val="F2F2F2"/>
        <w:sz w:val="22"/>
      </w:rPr>
      <w:tblPr/>
      <w:tcPr>
        <w:shd w:val="clear" w:color="FFFFFF" w:fill="D99695"/>
      </w:tcPr>
    </w:tblStylePr>
    <w:tblStylePr w:type="lastCol">
      <w:rPr>
        <w:color w:val="F2F2F2"/>
        <w:sz w:val="22"/>
      </w:rPr>
      <w:tblPr/>
      <w:tcPr>
        <w:shd w:val="clear" w:color="FFFFFF" w:fill="D9969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/>
      </w:tcPr>
    </w:tblStylePr>
    <w:tblStylePr w:type="lastRow">
      <w:rPr>
        <w:color w:val="F2F2F2"/>
        <w:sz w:val="22"/>
      </w:rPr>
      <w:tblPr/>
      <w:tcPr>
        <w:shd w:val="clear" w:color="FFFFFF" w:fill="9ABB59"/>
      </w:tcPr>
    </w:tblStylePr>
    <w:tblStylePr w:type="firstCol">
      <w:rPr>
        <w:color w:val="F2F2F2"/>
        <w:sz w:val="22"/>
      </w:rPr>
      <w:tblPr/>
      <w:tcPr>
        <w:shd w:val="clear" w:color="FFFFFF" w:fill="9ABB59"/>
      </w:tcPr>
    </w:tblStylePr>
    <w:tblStylePr w:type="lastCol">
      <w:rPr>
        <w:color w:val="F2F2F2"/>
        <w:sz w:val="22"/>
      </w:rPr>
      <w:tblPr/>
      <w:tcPr>
        <w:shd w:val="clear" w:color="FFFFFF" w:fill="9ABB59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/>
      </w:tcPr>
    </w:tblStylePr>
    <w:tblStylePr w:type="lastRow">
      <w:rPr>
        <w:color w:val="F2F2F2"/>
        <w:sz w:val="22"/>
      </w:rPr>
      <w:tblPr/>
      <w:tcPr>
        <w:shd w:val="clear" w:color="FFFFFF" w:fill="B2A1C6"/>
      </w:tcPr>
    </w:tblStylePr>
    <w:tblStylePr w:type="firstCol">
      <w:rPr>
        <w:color w:val="F2F2F2"/>
        <w:sz w:val="22"/>
      </w:rPr>
      <w:tblPr/>
      <w:tcPr>
        <w:shd w:val="clear" w:color="FFFFFF" w:fill="B2A1C6"/>
      </w:tcPr>
    </w:tblStylePr>
    <w:tblStylePr w:type="lastCol">
      <w:rPr>
        <w:color w:val="F2F2F2"/>
        <w:sz w:val="22"/>
      </w:rPr>
      <w:tblPr/>
      <w:tcPr>
        <w:shd w:val="clear" w:color="FFFFFF" w:fill="B2A1C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/>
      </w:tcPr>
    </w:tblStylePr>
    <w:tblStylePr w:type="lastRow">
      <w:rPr>
        <w:color w:val="F2F2F2"/>
        <w:sz w:val="22"/>
      </w:rPr>
      <w:tblPr/>
      <w:tcPr>
        <w:shd w:val="clear" w:color="FFFFFF" w:fill="4BACC6"/>
      </w:tcPr>
    </w:tblStylePr>
    <w:tblStylePr w:type="firstCol">
      <w:rPr>
        <w:color w:val="F2F2F2"/>
        <w:sz w:val="22"/>
      </w:rPr>
      <w:tblPr/>
      <w:tcPr>
        <w:shd w:val="clear" w:color="FFFFFF" w:fill="4BACC6"/>
      </w:tcPr>
    </w:tblStylePr>
    <w:tblStylePr w:type="lastCol">
      <w:rPr>
        <w:color w:val="F2F2F2"/>
        <w:sz w:val="22"/>
      </w:rPr>
      <w:tblPr/>
      <w:tcPr>
        <w:shd w:val="clear" w:color="FFFFFF" w:fill="4BACC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/>
      </w:tcPr>
    </w:tblStylePr>
    <w:tblStylePr w:type="lastRow">
      <w:rPr>
        <w:color w:val="F2F2F2"/>
        <w:sz w:val="22"/>
      </w:rPr>
      <w:tblPr/>
      <w:tcPr>
        <w:shd w:val="clear" w:color="FFFFFF" w:fill="F79646"/>
      </w:tcPr>
    </w:tblStylePr>
    <w:tblStylePr w:type="firstCol">
      <w:rPr>
        <w:color w:val="F2F2F2"/>
        <w:sz w:val="22"/>
      </w:rPr>
      <w:tblPr/>
      <w:tcPr>
        <w:shd w:val="clear" w:color="FFFFFF" w:fill="F79646"/>
      </w:tcPr>
    </w:tblStylePr>
    <w:tblStylePr w:type="lastCol">
      <w:rPr>
        <w:color w:val="F2F2F2"/>
        <w:sz w:val="22"/>
      </w:rPr>
      <w:tblPr/>
      <w:tcPr>
        <w:shd w:val="clear" w:color="FFFFFF" w:fill="F7964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paragraph" w:styleId="aff2">
    <w:name w:val="Balloon Text"/>
    <w:basedOn w:val="a"/>
    <w:link w:val="aff3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3">
    <w:name w:val="Текст выноски Знак"/>
    <w:basedOn w:val="a1"/>
    <w:link w:val="aff2"/>
    <w:uiPriority w:val="99"/>
    <w:semiHidden/>
    <w:rPr>
      <w:rFonts w:ascii="Segoe UI" w:hAnsi="Segoe UI" w:cs="Segoe UI"/>
      <w:sz w:val="18"/>
      <w:szCs w:val="18"/>
    </w:rPr>
  </w:style>
  <w:style w:type="character" w:styleId="aff4">
    <w:name w:val="annotation reference"/>
    <w:basedOn w:val="a1"/>
    <w:uiPriority w:val="99"/>
    <w:semiHidden/>
    <w:unhideWhenUsed/>
    <w:rPr>
      <w:sz w:val="16"/>
      <w:szCs w:val="16"/>
    </w:rPr>
  </w:style>
  <w:style w:type="paragraph" w:styleId="aff5">
    <w:name w:val="annotation text"/>
    <w:basedOn w:val="a"/>
    <w:link w:val="aff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6">
    <w:name w:val="Текст примечания Знак"/>
    <w:basedOn w:val="a1"/>
    <w:link w:val="aff5"/>
    <w:uiPriority w:val="99"/>
    <w:semiHidden/>
    <w:rPr>
      <w:sz w:val="20"/>
      <w:szCs w:val="20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Pr>
      <w:b/>
      <w:bCs/>
    </w:rPr>
  </w:style>
  <w:style w:type="character" w:customStyle="1" w:styleId="aff8">
    <w:name w:val="Тема примечания Знак"/>
    <w:basedOn w:val="aff6"/>
    <w:link w:val="aff7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w:settings xmlns:w="http://schemas.openxmlformats.org/wordprocessingml/2006/main">
  <w:SpecialFormsHighlight w:val="c9c8ff"/>
</w:settings>
</file>

<file path=customXml/item3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3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</Pages>
  <Words>1624</Words>
  <Characters>9257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11.11.2010 N 887(ред. от 13.02.2021)"О порядке создания и обеспечения функционирования системы государственного информационного обеспечения в области торговой деятельности в Российской Федерации"(вместе с "Положением о со</vt:lpstr>
    </vt:vector>
  </TitlesOfParts>
  <Company>КонсультантПлюс Версия 4023.00.53</Company>
  <LinksUpToDate>false</LinksUpToDate>
  <CharactersWithSpaces>10860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11.11.2010 N 887(ред. от 13.02.2021)"О порядке создания и обеспечения функционирования системы государственного информационного обеспечения в области торговой деятельности в Российской Федерации"(вместе с "Положением о создании и обеспечении функционирования системы государственного информационного обеспечения в области торговой деятельности в Российской Федерации")</dc:title>
  <dc:creator>Лопатина Татьяна Игоревна</dc:creator>
  <cp:lastModifiedBy>Пользователь</cp:lastModifiedBy>
  <cp:revision>10</cp:revision>
  <cp:lastPrinted>2025-06-19T11:59:00Z</cp:lastPrinted>
  <dcterms:created xsi:type="dcterms:W3CDTF">2025-05-22T15:26:00Z</dcterms:created>
  <dcterms:modified xsi:type="dcterms:W3CDTF">2025-06-20T13:44:00Z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4023.00.53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