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52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6"/>
        <w:gridCol w:w="7200"/>
      </w:tblGrid>
      <w:tr w:rsidR="0076165D" w:rsidTr="00B26382">
        <w:trPr>
          <w:trHeight w:val="2445"/>
        </w:trPr>
        <w:tc>
          <w:tcPr>
            <w:tcW w:w="8086" w:type="dxa"/>
          </w:tcPr>
          <w:p w:rsidR="0076165D" w:rsidRPr="009E6808" w:rsidRDefault="0076165D" w:rsidP="004E33AE">
            <w:pPr>
              <w:jc w:val="right"/>
              <w:outlineLvl w:val="1"/>
              <w:rPr>
                <w:b/>
              </w:rPr>
            </w:pPr>
          </w:p>
          <w:p w:rsidR="00B26382" w:rsidRPr="009E6808" w:rsidRDefault="00B26382" w:rsidP="00B26382">
            <w:pPr>
              <w:jc w:val="center"/>
              <w:outlineLvl w:val="1"/>
              <w:rPr>
                <w:b/>
              </w:rPr>
            </w:pPr>
          </w:p>
          <w:p w:rsidR="00B26382" w:rsidRPr="009E6808" w:rsidRDefault="00B26382" w:rsidP="00B26382">
            <w:pPr>
              <w:jc w:val="center"/>
              <w:outlineLvl w:val="1"/>
              <w:rPr>
                <w:b/>
              </w:rPr>
            </w:pPr>
          </w:p>
          <w:p w:rsidR="00B26382" w:rsidRPr="009E6808" w:rsidRDefault="00B26382" w:rsidP="00B26382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7200" w:type="dxa"/>
          </w:tcPr>
          <w:p w:rsidR="00B26382" w:rsidRDefault="00B26382" w:rsidP="00911361">
            <w:pPr>
              <w:widowControl w:val="0"/>
              <w:outlineLvl w:val="0"/>
            </w:pPr>
          </w:p>
          <w:p w:rsidR="0076165D" w:rsidRDefault="0076165D" w:rsidP="0076165D">
            <w:pPr>
              <w:jc w:val="right"/>
            </w:pPr>
            <w:r w:rsidRPr="0048156C">
              <w:t xml:space="preserve">Приложение </w:t>
            </w:r>
          </w:p>
          <w:p w:rsidR="0076165D" w:rsidRDefault="0076165D" w:rsidP="0076165D">
            <w:pPr>
              <w:jc w:val="right"/>
            </w:pPr>
            <w:r>
              <w:t xml:space="preserve">к </w:t>
            </w:r>
            <w:r w:rsidRPr="0048156C">
              <w:t>Положению</w:t>
            </w:r>
            <w:r>
              <w:t xml:space="preserve"> </w:t>
            </w:r>
            <w:r w:rsidRPr="0048156C">
              <w:t>об организации проведения</w:t>
            </w:r>
            <w:r>
              <w:t xml:space="preserve"> </w:t>
            </w:r>
            <w:r w:rsidRPr="0048156C">
              <w:t xml:space="preserve">мониторинга </w:t>
            </w:r>
            <w:r>
              <w:t xml:space="preserve">  </w:t>
            </w:r>
          </w:p>
          <w:p w:rsidR="0076165D" w:rsidRDefault="0076165D" w:rsidP="0076165D">
            <w:pPr>
              <w:jc w:val="right"/>
            </w:pPr>
            <w:r>
              <w:t xml:space="preserve">качества </w:t>
            </w:r>
            <w:r w:rsidRPr="0048156C">
              <w:t>финансового менеджмента,</w:t>
            </w:r>
            <w:r>
              <w:t xml:space="preserve"> </w:t>
            </w:r>
            <w:r w:rsidRPr="0048156C">
              <w:t>осуществляемого</w:t>
            </w:r>
          </w:p>
          <w:p w:rsidR="0076165D" w:rsidRPr="0048156C" w:rsidRDefault="0076165D" w:rsidP="0076165D">
            <w:pPr>
              <w:jc w:val="right"/>
            </w:pPr>
            <w:r w:rsidRPr="0048156C">
              <w:t xml:space="preserve"> главн</w:t>
            </w:r>
            <w:r>
              <w:t>ы</w:t>
            </w:r>
            <w:r w:rsidRPr="0048156C">
              <w:t>ми</w:t>
            </w:r>
            <w:r>
              <w:t xml:space="preserve"> </w:t>
            </w:r>
            <w:r w:rsidR="00062426">
              <w:t xml:space="preserve">администраторами </w:t>
            </w:r>
            <w:r w:rsidRPr="0048156C">
              <w:t xml:space="preserve">средств бюджета </w:t>
            </w:r>
            <w:r>
              <w:t>МР «Печора»</w:t>
            </w:r>
          </w:p>
          <w:p w:rsidR="0076165D" w:rsidRDefault="0076165D" w:rsidP="004E33AE">
            <w:pPr>
              <w:jc w:val="right"/>
              <w:outlineLvl w:val="1"/>
            </w:pPr>
          </w:p>
        </w:tc>
      </w:tr>
    </w:tbl>
    <w:p w:rsidR="00D45649" w:rsidRPr="0048156C" w:rsidRDefault="00D45649" w:rsidP="00D456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8156C">
        <w:rPr>
          <w:rFonts w:ascii="Times New Roman" w:hAnsi="Times New Roman" w:cs="Times New Roman"/>
          <w:sz w:val="24"/>
          <w:szCs w:val="24"/>
        </w:rPr>
        <w:t>ПОКАЗАТЕЛИ</w:t>
      </w:r>
    </w:p>
    <w:p w:rsidR="00D45649" w:rsidRPr="0048156C" w:rsidRDefault="00D45649" w:rsidP="00D456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8156C">
        <w:rPr>
          <w:rFonts w:ascii="Times New Roman" w:hAnsi="Times New Roman" w:cs="Times New Roman"/>
          <w:sz w:val="24"/>
          <w:szCs w:val="24"/>
        </w:rPr>
        <w:t>ГОДОВОГО МОНИТОРИНГА КАЧЕСТВА ФИНАНСОВОГО</w:t>
      </w:r>
    </w:p>
    <w:p w:rsidR="00D45649" w:rsidRPr="0048156C" w:rsidRDefault="00D45649" w:rsidP="00D456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8156C">
        <w:rPr>
          <w:rFonts w:ascii="Times New Roman" w:hAnsi="Times New Roman" w:cs="Times New Roman"/>
          <w:sz w:val="24"/>
          <w:szCs w:val="24"/>
        </w:rPr>
        <w:t xml:space="preserve">МЕНЕДЖМЕНТА, ОСУЩЕСТВЛЯЕМОГО ГЛАВНЫМИ </w:t>
      </w:r>
      <w:r w:rsidR="00911361">
        <w:rPr>
          <w:rFonts w:ascii="Times New Roman" w:hAnsi="Times New Roman" w:cs="Times New Roman"/>
          <w:sz w:val="24"/>
          <w:szCs w:val="24"/>
        </w:rPr>
        <w:t>АДМИНИСТРАТОРАМИ</w:t>
      </w:r>
    </w:p>
    <w:p w:rsidR="00D45649" w:rsidRDefault="00D45649" w:rsidP="00D456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8156C">
        <w:rPr>
          <w:rFonts w:ascii="Times New Roman" w:hAnsi="Times New Roman" w:cs="Times New Roman"/>
          <w:sz w:val="24"/>
          <w:szCs w:val="24"/>
        </w:rPr>
        <w:t xml:space="preserve">СРЕДСТВ БЮДЖЕТА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«ПЕЧОРА»</w:t>
      </w:r>
    </w:p>
    <w:p w:rsidR="00D45649" w:rsidRDefault="00D45649" w:rsidP="00D4564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D45649" w:rsidRDefault="00D45649" w:rsidP="00D456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850"/>
        <w:gridCol w:w="4253"/>
        <w:gridCol w:w="993"/>
        <w:gridCol w:w="991"/>
        <w:gridCol w:w="2693"/>
        <w:gridCol w:w="2127"/>
      </w:tblGrid>
      <w:tr w:rsidR="00D45649" w:rsidTr="0076165D"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Наименование пок</w:t>
            </w: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</w:p>
        </w:tc>
        <w:tc>
          <w:tcPr>
            <w:tcW w:w="850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пок</w:t>
            </w: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за-теля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Расчет показателя</w:t>
            </w:r>
          </w:p>
        </w:tc>
        <w:tc>
          <w:tcPr>
            <w:tcW w:w="993" w:type="dxa"/>
            <w:shd w:val="clear" w:color="auto" w:fill="auto"/>
          </w:tcPr>
          <w:p w:rsidR="004E33AE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7A21C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используемой для расчета показат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4D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4D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4D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4D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4D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4D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4D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5A4D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</w:tr>
      <w:tr w:rsidR="00D45649" w:rsidRPr="00625A4D" w:rsidTr="0076165D"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8790" w:type="dxa"/>
            <w:gridSpan w:val="4"/>
            <w:shd w:val="clear" w:color="auto" w:fill="auto"/>
          </w:tcPr>
          <w:p w:rsidR="00D45649" w:rsidRPr="00400B5F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400B5F"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 xml:space="preserve">Качество бюджетного планирования 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0,2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2694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Качество планирования расходов: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оличество ходатайств об изменении росписи расходов и лимитов бюджетных обяз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тельств в отчетном п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риоде</w:t>
            </w:r>
          </w:p>
        </w:tc>
        <w:tc>
          <w:tcPr>
            <w:tcW w:w="850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ПК</w:t>
            </w:r>
            <w:proofErr w:type="gramStart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ПК</w:t>
            </w:r>
            <w:proofErr w:type="gramStart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proofErr w:type="gramEnd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100, если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0 &lt;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≤ 6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= 70,  если   7 ≤ 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≤ 12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ПК</w:t>
            </w:r>
            <w:proofErr w:type="gramStart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proofErr w:type="gramEnd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= 40, если 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N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≤ 18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Пк</w:t>
            </w:r>
            <w:proofErr w:type="gramStart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proofErr w:type="gramEnd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= 0,  если  N &gt;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количество ходатайств об и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менении росписи расходов и лимитов бюджетных обязательств в отчетном периоде</w:t>
            </w:r>
          </w:p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0,35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ходата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ствах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 изменении  росписи расходов и 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митов бюджетных об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зательств 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91136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Большое колич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ство ходатайств об изменении росписи расходов и лимитов бю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жетных обяз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тельств в отче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ном периоде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детельствует о низком качестве работы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финансовому  планированию</w:t>
            </w:r>
          </w:p>
        </w:tc>
      </w:tr>
      <w:tr w:rsidR="00D45649" w:rsidTr="0076165D">
        <w:trPr>
          <w:trHeight w:val="3121"/>
        </w:trPr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4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изменений в сводную бюджетную роспись в отчетном п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риоде</w:t>
            </w:r>
          </w:p>
        </w:tc>
        <w:tc>
          <w:tcPr>
            <w:tcW w:w="850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ПК</w:t>
            </w:r>
            <w:proofErr w:type="gramStart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ПК</w:t>
            </w:r>
            <w:proofErr w:type="gramStart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proofErr w:type="gramEnd"/>
            <w:r w:rsidRP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=100 х (1 –</w:t>
            </w:r>
            <w:r w:rsidRP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/</w:t>
            </w:r>
            <w:r w:rsidRP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сумма положительных изменений в сводную бюджетную роспись</w:t>
            </w:r>
          </w:p>
          <w:p w:rsidR="00D45649" w:rsidRPr="00625A4D" w:rsidRDefault="00D45649" w:rsidP="0091136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объем бюджетных ассигнований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согласно росписи расходов бю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жета МР «Печора» с учетом внесе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ных в нее изменений по состоянию на конец отчетного периода</w:t>
            </w:r>
          </w:p>
        </w:tc>
        <w:tc>
          <w:tcPr>
            <w:tcW w:w="993" w:type="dxa"/>
            <w:shd w:val="clear" w:color="auto" w:fill="auto"/>
          </w:tcPr>
          <w:p w:rsidR="00D45649" w:rsidRPr="00625A4D" w:rsidRDefault="00F20CF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0,3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91136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Уведомления, ежем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сячно представляемые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согласно ходата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ствам об изменении росписи расходов и 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митов бюджетных об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зательств по кодам 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дов внесений измен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ний, вносимых в сво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ную бюджетную ро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пись </w:t>
            </w:r>
          </w:p>
        </w:tc>
        <w:tc>
          <w:tcPr>
            <w:tcW w:w="2127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Значительное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клонение показ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теля от 100%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детельствует о низком качестве работы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финансовому планированию</w:t>
            </w:r>
          </w:p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2694" w:type="dxa"/>
            <w:shd w:val="clear" w:color="auto" w:fill="auto"/>
          </w:tcPr>
          <w:p w:rsidR="00D45649" w:rsidRPr="00630974" w:rsidRDefault="00707867" w:rsidP="0091136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Доля  муниципальных </w:t>
            </w:r>
            <w:r w:rsidR="00D45649"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программ </w:t>
            </w:r>
            <w:r w:rsidR="007A21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реализуемых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 w:rsidR="00D45649"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, по которым утвержденный объем финансирования изм</w:t>
            </w:r>
            <w:r w:rsidR="00D45649"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D45649"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нился в течение отче</w:t>
            </w:r>
            <w:r w:rsidR="00D45649"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D45649"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ного года более чем на 15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процентов </w:t>
            </w:r>
            <w:proofErr w:type="gramStart"/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proofErr w:type="gramEnd"/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перв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начального</w:t>
            </w:r>
          </w:p>
        </w:tc>
        <w:tc>
          <w:tcPr>
            <w:tcW w:w="850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ПК 3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ПК 3 = 100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если  Уд &lt; 5</w:t>
            </w:r>
          </w:p>
          <w:p w:rsidR="00D45649" w:rsidRDefault="00D45649" w:rsidP="00425C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ПК 3 = 70, если 5 ≤ Уд &lt; 20</w:t>
            </w:r>
          </w:p>
          <w:p w:rsidR="00D45649" w:rsidRDefault="00D45649" w:rsidP="00425C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ПК 3 = 50, если  20 ≤  Уд &lt;50</w:t>
            </w:r>
          </w:p>
          <w:p w:rsidR="00D45649" w:rsidRDefault="00D45649" w:rsidP="00425C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ПК 3 = 0, если Уд ≥ 50</w:t>
            </w:r>
          </w:p>
          <w:p w:rsidR="00D45649" w:rsidRPr="00DD7AE4" w:rsidRDefault="00D45649" w:rsidP="00425CE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Уд =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(ЦП15) /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(ЦП) х 100 </w:t>
            </w:r>
          </w:p>
          <w:p w:rsidR="00D45649" w:rsidRPr="00630974" w:rsidRDefault="00D45649" w:rsidP="00425C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45649" w:rsidRPr="00630974" w:rsidRDefault="00D45649" w:rsidP="00425CE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где:</w:t>
            </w:r>
          </w:p>
          <w:p w:rsidR="00D45649" w:rsidRPr="00630974" w:rsidRDefault="00D45649" w:rsidP="00425CE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Q(ЦП15)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число </w:t>
            </w:r>
            <w:r w:rsidR="0070786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муниципальных 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="007A21C2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рамм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gramStart"/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расходы</w:t>
            </w:r>
            <w:proofErr w:type="gramEnd"/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реализацию кот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рых осуществлялись в отчетном году, утвержденный объем расходов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реализацию которых в отчетном году отклонился от утвержденного по с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стоянию на 1 января отчетного года объема более чем на 15 процентов (без учета расходов, осуществляемых за счет субсидий и субвенций, пред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ставляемых из бюджетов бюджетной системы Российской Федерации).</w:t>
            </w:r>
          </w:p>
          <w:p w:rsidR="00D45649" w:rsidRPr="00630974" w:rsidRDefault="00D45649" w:rsidP="00425CE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 расчете значения показателя уч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тывается </w:t>
            </w:r>
            <w:proofErr w:type="gramStart"/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отклонение</w:t>
            </w:r>
            <w:proofErr w:type="gramEnd"/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как в меньшую, так и в большую сторону от значения, утвержденного по состоянию на 1 я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варя отчетного года.</w:t>
            </w:r>
          </w:p>
          <w:p w:rsidR="00D45649" w:rsidRPr="00630974" w:rsidRDefault="00D45649" w:rsidP="00425CE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Q(ЦП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 - общее число </w:t>
            </w:r>
            <w:r w:rsidR="0070786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муниципальных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программ, </w:t>
            </w:r>
            <w:proofErr w:type="gramStart"/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расходы</w:t>
            </w:r>
            <w:proofErr w:type="gramEnd"/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реализацию к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торых осуществлялись в отчетном г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ду.</w:t>
            </w:r>
          </w:p>
          <w:p w:rsidR="00D45649" w:rsidRPr="00625A4D" w:rsidRDefault="00D45649" w:rsidP="00A0576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Значения показателей определяются на основе сопоставления редакций </w:t>
            </w:r>
            <w:r w:rsidR="00A0576E"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 w:rsidR="00A0576E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="00A0576E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ниципальных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программ по состоянию на 1 января отчетного года и по сост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янию на 31 декабря отчетного года. При отсутствии утвержденной </w:t>
            </w:r>
            <w:r w:rsidR="00A0576E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</w:t>
            </w:r>
            <w:r w:rsidR="00A0576E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A0576E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ципальной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программы на 1 января о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четного года первоначально утве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жденный объем расходов по ней пр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нимается в соответствии с первой р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630974">
              <w:rPr>
                <w:rFonts w:ascii="Times New Roman" w:hAnsi="Times New Roman" w:cs="Times New Roman"/>
                <w:b w:val="0"/>
                <w:sz w:val="24"/>
                <w:szCs w:val="24"/>
              </w:rPr>
              <w:t>дакцией программы.</w:t>
            </w:r>
          </w:p>
        </w:tc>
        <w:tc>
          <w:tcPr>
            <w:tcW w:w="99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0,35</w:t>
            </w:r>
          </w:p>
        </w:tc>
        <w:tc>
          <w:tcPr>
            <w:tcW w:w="269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8790" w:type="dxa"/>
            <w:gridSpan w:val="4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Исполнение бюджета в части расходов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0,2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Pr="00A6444C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red"/>
              </w:rPr>
            </w:pPr>
            <w:r w:rsidRPr="007A21C2">
              <w:rPr>
                <w:rFonts w:ascii="Times New Roman" w:hAnsi="Times New Roman" w:cs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2694" w:type="dxa"/>
            <w:shd w:val="clear" w:color="auto" w:fill="auto"/>
          </w:tcPr>
          <w:p w:rsidR="00D45649" w:rsidRPr="00A6444C" w:rsidRDefault="007A21C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Равномерность расх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дов</w:t>
            </w:r>
          </w:p>
        </w:tc>
        <w:tc>
          <w:tcPr>
            <w:tcW w:w="850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1</w:t>
            </w:r>
          </w:p>
        </w:tc>
        <w:tc>
          <w:tcPr>
            <w:tcW w:w="4253" w:type="dxa"/>
            <w:shd w:val="clear" w:color="auto" w:fill="auto"/>
          </w:tcPr>
          <w:p w:rsidR="00733FD3" w:rsidRPr="006B7E40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7E4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ИР 1 = 100, если </w:t>
            </w:r>
            <w:proofErr w:type="gramStart"/>
            <w:r w:rsidR="006B7E40" w:rsidRPr="006B7E40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Pr="006B7E4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B7E40" w:rsidRPr="006B7E40">
              <w:rPr>
                <w:rFonts w:ascii="Times New Roman" w:hAnsi="Times New Roman" w:cs="Times New Roman"/>
                <w:b w:val="0"/>
                <w:sz w:val="24"/>
                <w:szCs w:val="24"/>
              </w:rPr>
              <w:t>&lt; 50</w:t>
            </w:r>
          </w:p>
          <w:p w:rsidR="006B7E40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7E4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ИР 1 </w:t>
            </w:r>
            <w:r w:rsidR="006B7E40">
              <w:rPr>
                <w:rFonts w:ascii="Times New Roman" w:hAnsi="Times New Roman" w:cs="Times New Roman"/>
                <w:b w:val="0"/>
                <w:sz w:val="24"/>
                <w:szCs w:val="24"/>
              </w:rPr>
              <w:t>= (1-</w:t>
            </w:r>
            <w:r w:rsidR="00733F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(Р-50) / 50</w:t>
            </w:r>
            <w:proofErr w:type="gramStart"/>
            <w:r w:rsidR="00733F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)</w:t>
            </w:r>
            <w:proofErr w:type="gramEnd"/>
            <w:r w:rsidR="00733F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если </w:t>
            </w:r>
          </w:p>
          <w:p w:rsidR="00733FD3" w:rsidRDefault="00733FD3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50 ≤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100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7E4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ИР 1 = 0, если </w:t>
            </w:r>
            <w:proofErr w:type="gramStart"/>
            <w:r w:rsidR="00733FD3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 w:rsidR="00733F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&gt; 10</w:t>
            </w:r>
            <w:r w:rsidRPr="006B7E40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="00733FD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</w:p>
          <w:p w:rsidR="00733FD3" w:rsidRPr="00B022D8" w:rsidRDefault="00B022D8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P = (E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E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 x 100 /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Eср</w:t>
            </w:r>
            <w:proofErr w:type="spellEnd"/>
            <w:r w:rsidRPr="00B022D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D45649" w:rsidRDefault="00B022D8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кассовые расходы в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кв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отчетн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го года,</w:t>
            </w:r>
          </w:p>
          <w:p w:rsidR="00B022D8" w:rsidRPr="00B022D8" w:rsidRDefault="00B022D8" w:rsidP="009B4E1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Еср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средний объем кассовых расх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дов за 1-3 кв.</w:t>
            </w:r>
            <w:r w:rsidR="009B4E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отчетного </w:t>
            </w:r>
            <w:r w:rsidR="009B4E14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  <w:tc>
          <w:tcPr>
            <w:tcW w:w="9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0,25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854910" w:rsidP="0091136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Целевым орие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тиром для </w:t>
            </w:r>
            <w:proofErr w:type="gramStart"/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является значение показателя, при котором кассовые расходы в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кв. достигают менее трети годовых расходов</w:t>
            </w: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2.2</w:t>
            </w:r>
          </w:p>
        </w:tc>
        <w:tc>
          <w:tcPr>
            <w:tcW w:w="2694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Эффективность упра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ления кредиторской задолженностью по расчетам с поставщ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ками и подрядчиками</w:t>
            </w:r>
          </w:p>
        </w:tc>
        <w:tc>
          <w:tcPr>
            <w:tcW w:w="850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2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2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100, если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Э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0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2 = 50 , если  0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&lt;  Э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10,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2 = 0, если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&gt; 10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 = 100 х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End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К/Е), где 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К – объем кредиторской задолженн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сти по расчетам с поставщиками и подрядчиками в отчетном финансовом году по состоянию на 1 января  года, следующего </w:t>
            </w:r>
            <w:proofErr w:type="gramStart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</w:t>
            </w:r>
            <w:proofErr w:type="gramEnd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отчетным;</w:t>
            </w:r>
          </w:p>
          <w:p w:rsidR="00D45649" w:rsidRPr="00625A4D" w:rsidRDefault="00D45649" w:rsidP="0091136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Е – кассовое исполнение расходов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ГАС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в отчетном финансовом году</w:t>
            </w:r>
          </w:p>
        </w:tc>
        <w:tc>
          <w:tcPr>
            <w:tcW w:w="9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0,25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91136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Отчет об исполнении бюджета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МР «П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чора» по форме </w:t>
            </w:r>
            <w:r w:rsidRP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0503127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«сведения по дебиторской и кред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торской задолженн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сти» форма 0503169 в составе пояснительной записки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утвержденные 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приказом Минфина РФ «Об утверждении И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струкции о порядке с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ставления и предста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ления годовой, ква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тальной и месячной о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четности об исполн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нии бюджетов бюдже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системы РФ»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91136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Негативным сч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тается факт накопления зн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чительного объ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 кредиторской задолженности по расчетам с 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ставщиками и подрядчиками в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отчетном фина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совом году по 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стоянию на 1 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варя года, след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ющего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отче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ным, по отнош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нию к кассовому исполнению ра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ходов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четном финанс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вом году</w:t>
            </w:r>
          </w:p>
        </w:tc>
      </w:tr>
      <w:tr w:rsidR="00D45649" w:rsidRPr="00625A4D" w:rsidTr="0076165D"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94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Эффективность упра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ления дебиторской з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долженностью по ра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четам с поставщиками и подрядчиками</w:t>
            </w:r>
          </w:p>
        </w:tc>
        <w:tc>
          <w:tcPr>
            <w:tcW w:w="850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3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3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100, если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Э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0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3 = 50 , если  0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&lt;  Э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≤ 10,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3 = 0, если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&gt; 10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Э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= 100 х (К/Е), где 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К – объем дебиторской задолженности по расчетам с поставщиками и по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рядчиками в отчетном финансовом г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ду по состоянию на 1 января  года, следующего </w:t>
            </w:r>
            <w:proofErr w:type="gramStart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за</w:t>
            </w:r>
            <w:proofErr w:type="gramEnd"/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отчетным;</w:t>
            </w:r>
          </w:p>
          <w:p w:rsidR="00D45649" w:rsidRPr="00625A4D" w:rsidRDefault="00D45649" w:rsidP="0091136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 – кассовое исполнение расходов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отчетном финансовом году</w:t>
            </w:r>
          </w:p>
        </w:tc>
        <w:tc>
          <w:tcPr>
            <w:tcW w:w="9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0,25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91136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Отчет об исполнении бюджета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МР «П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чора» по форме </w:t>
            </w:r>
            <w:r w:rsidRP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0503127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«сведения по дебиторской и кред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торской задолженн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A36BE9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сти» форма 0503169 в составе пояснительной записки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, утвержденные приказом Минфина РФ «Об утверждении И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струкции о порядке с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ставления и предста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ления годовой, ква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тальной и месячной о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четности об исполн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нии бюджетов бюдже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ной системы РФ» 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91136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Негативным сч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тается факт накопления зн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чительного объ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ма дебиторской  задолженности по расчетам с 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ставщиками и подрядчиками в отчетном фина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совом году по 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стоянию на 1 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варя года, след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ющего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отче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ным, по отнош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нию к кассовому исполнению ра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ходов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четном финанс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вом году</w:t>
            </w: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2.4</w:t>
            </w:r>
          </w:p>
        </w:tc>
        <w:tc>
          <w:tcPr>
            <w:tcW w:w="2694" w:type="dxa"/>
            <w:shd w:val="clear" w:color="auto" w:fill="auto"/>
          </w:tcPr>
          <w:p w:rsidR="00D45649" w:rsidRPr="00625A4D" w:rsidRDefault="00D45649" w:rsidP="00A0576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Исполнение расходов, запланированных в рамках муниципальных программ</w:t>
            </w:r>
          </w:p>
        </w:tc>
        <w:tc>
          <w:tcPr>
            <w:tcW w:w="850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4</w:t>
            </w:r>
          </w:p>
        </w:tc>
        <w:tc>
          <w:tcPr>
            <w:tcW w:w="425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4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100, если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F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≥ 95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4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70, если  70  ≤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F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&lt; 95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4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40, если 50  ≤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F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&lt; 70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ИР 4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0, если 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F</w:t>
            </w: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&lt; 50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5A4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lastRenderedPageBreak/>
              <w:t>F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(К1 / К ) х 100 , где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–исполнение расходов </w:t>
            </w:r>
            <w:r w:rsidR="00747D7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пальным программам;</w:t>
            </w:r>
          </w:p>
          <w:p w:rsidR="00D45649" w:rsidRPr="00560EE2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утвержденный объем по муниц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пальным программам</w:t>
            </w:r>
          </w:p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0,25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A0576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Отчеты об исполнении муниципальных </w:t>
            </w:r>
            <w:r w:rsidR="00747D7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</w:t>
            </w:r>
            <w:r w:rsidR="00747D7E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747D7E"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грамм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0624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Показатель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хара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теризует качество исполнения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расходов, запл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нированных в рамках </w:t>
            </w:r>
            <w:r w:rsidR="00747D7E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</w:t>
            </w:r>
            <w:r w:rsidR="00747D7E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747D7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пальных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грамм</w:t>
            </w: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A0576E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8790" w:type="dxa"/>
            <w:gridSpan w:val="4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результатами деятельности  подведомственных учреждений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C67C1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</w:t>
            </w:r>
            <w:r w:rsidR="00C67C1C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A0576E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.1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Выполнение подведо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ственными учрежден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ями показателей 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зультативности, уст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новленных стандартами качества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КД 1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КД 1 = 100,  если 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≥ 90,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КД 1 = 70, если  75≤ 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&lt;  90,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КД 1 = 50, если  50 ≤ 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&lt; 75 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где  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100 х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5A608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5A6081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количество учреждений подв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домственных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выполнивших 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казатели качества услуг, установле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ные стандартами качества;</w:t>
            </w:r>
          </w:p>
          <w:p w:rsidR="00D45649" w:rsidRPr="00857DDA" w:rsidRDefault="00D45649" w:rsidP="0091136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количество учреждений, подведомственных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которым установлены стандарты качества</w:t>
            </w:r>
          </w:p>
        </w:tc>
        <w:tc>
          <w:tcPr>
            <w:tcW w:w="9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Отчет о проведенной оценке выполнения подведомственными учреждениями уст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новленных требований к результатам деятел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ности 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91136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Низкий процент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свидетельствует о низком качестве контроля </w:t>
            </w:r>
            <w:r w:rsidR="00911361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 результатами  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ятельности 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ведомственных учреждений</w:t>
            </w:r>
          </w:p>
        </w:tc>
      </w:tr>
      <w:tr w:rsidR="00D45649" w:rsidTr="0076165D">
        <w:trPr>
          <w:trHeight w:val="1541"/>
        </w:trPr>
        <w:tc>
          <w:tcPr>
            <w:tcW w:w="675" w:type="dxa"/>
            <w:shd w:val="clear" w:color="auto" w:fill="auto"/>
          </w:tcPr>
          <w:p w:rsidR="00D45649" w:rsidRDefault="00AD5170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.2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Проведение контрол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ных мероприятий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КД 2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КД 2 = 100,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 контрольных мероприятий 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полнен в полном объеме, реализация результатов мероприятий по контролю исполнена своевременно, приняты 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ры по осуществлению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своевременным исполнением предп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саний об устранении выявленных нарушений, направленных в пров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ренную организацию;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КД = 80,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 контрольных мероприятий 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полнен в полном объеме, последу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щие показатели или один из них не исполнены или исполнены несвоевр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менно;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КД 2 = 70,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план контрольных мероприятий 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полнен в объеме от 70 до 100%, реал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зация результатов мероприятий по контролю исполнена своевременно, приняты меры по осуществлению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троля 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своевременным исполнением предписаний об устранении выявле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ных нарушений, направленных в пр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веренную организацию;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КД 2 = 40,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 контрольных мероприятий 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полнен в объеме от 70 до 100%, посл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дующие показатели или один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из них не исполнены или исполнены несво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временно;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КД 2 = 0,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 контрольных мероприятий 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полнен в объеме менее 70%.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AD5170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8790" w:type="dxa"/>
            <w:gridSpan w:val="4"/>
            <w:shd w:val="clear" w:color="auto" w:fill="auto"/>
          </w:tcPr>
          <w:p w:rsidR="00D45649" w:rsidRPr="00400B5F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  <w:u w:val="single"/>
              </w:rPr>
            </w:pPr>
            <w:r w:rsidRPr="00400B5F">
              <w:rPr>
                <w:rFonts w:ascii="Times New Roman" w:hAnsi="Times New Roman" w:cs="Times New Roman"/>
                <w:b w:val="0"/>
                <w:sz w:val="26"/>
                <w:szCs w:val="26"/>
                <w:u w:val="single"/>
              </w:rPr>
              <w:t>Учет и отчетность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0,15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ё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AD5170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.1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Отчет по сети, штатам и контингентам (далее – отчет по СШК):</w:t>
            </w:r>
          </w:p>
          <w:p w:rsidR="00D45649" w:rsidRDefault="00D45649" w:rsidP="007A074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Представление отчета в установленные сроки, наличие пояснительной записки и расшифро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кой показателей, нал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чие арифметических ошибок, соответствие по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казателей в бланке расшифровкам.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УО1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Д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+ ПЗ + АО+СП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1.Представление отчета в установле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ные сроки: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Д=30, если отчет  представлен в срок,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Д=20, если 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представлен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просрочкой 1-2 дня,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Д=10 баллов, если отчет представлен с просрочкой 3-4 дня,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Д=0, если просрочка больше 4 дней.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2.Наличие пояснительной записки, 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яснений отклонений по СШК, ра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шифровок показателей: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ПЗ=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если пояснения и расшифровки представлены в полном объеме,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ПЗ=15, если пояснения и расшифровки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представлены с ошибками,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ПЗ = 0, если пояснения и расшифровки не представлены.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3.Наличие в отчете арифметических ошибок: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АО = 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если отчет представлен без ошибок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, АО = 10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если допущено1-5 ошибок,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АО = 0, если более 5 ошибок.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4.Соответствие показателей в бланке расшифровкам: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СП=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если полное соответствие,</w:t>
            </w:r>
          </w:p>
          <w:p w:rsidR="00D45649" w:rsidRDefault="007A074D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СП=10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,если 123 показателя не соо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ветствуют,</w:t>
            </w:r>
          </w:p>
          <w:p w:rsidR="00D45649" w:rsidRPr="003F239A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СП=0, если не соо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тветствуют более 2 показателей.</w:t>
            </w:r>
          </w:p>
        </w:tc>
        <w:tc>
          <w:tcPr>
            <w:tcW w:w="9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617F5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0,1</w:t>
            </w:r>
            <w:r w:rsidR="00617F58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Годовой отчет по сети, штатам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 контингентам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Pr="00D748B0" w:rsidRDefault="00AD5170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</w:t>
            </w:r>
            <w:r w:rsidR="00D45649"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.2</w:t>
            </w:r>
          </w:p>
        </w:tc>
        <w:tc>
          <w:tcPr>
            <w:tcW w:w="2694" w:type="dxa"/>
            <w:shd w:val="clear" w:color="auto" w:fill="auto"/>
          </w:tcPr>
          <w:p w:rsidR="00D45649" w:rsidRPr="00D748B0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Сведения об исполн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нии расходов бюджета МО МР «Печора»:</w:t>
            </w:r>
          </w:p>
          <w:p w:rsidR="00D45649" w:rsidRPr="00D748B0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Представление свед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ний в установленные сроки, в полном объ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ме, правильность пр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менения КБК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УО2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Д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+ О + КБК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Представление сведений в устано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ленные сроки: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 = 30, если сведения представлены в установленные сроки,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 = 0, если сведения не представлены в установленные сроки.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Сведения представлены в полном об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еме: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= 35, если сведения представлены в полном объеме,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= 0, если отчеты представлены не в полном объеме.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Правильность применения кодов бюджетной классификации: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КБК = 35, если в сведениях коды бюджетной классификации отражены без ошибок,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КБК = 0, если коды бюджетной кла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сификации отражены с ошибками.</w:t>
            </w:r>
          </w:p>
        </w:tc>
        <w:tc>
          <w:tcPr>
            <w:tcW w:w="993" w:type="dxa"/>
            <w:shd w:val="clear" w:color="auto" w:fill="auto"/>
          </w:tcPr>
          <w:p w:rsidR="00D45649" w:rsidRPr="00625A4D" w:rsidRDefault="00B91B4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617F5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0,1</w:t>
            </w:r>
            <w:r w:rsidR="00617F58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A82578" w:rsidP="000624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Отчет об исполнении бюджета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МР «П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чора» по форме </w:t>
            </w:r>
            <w:r w:rsidRPr="00353A9F">
              <w:rPr>
                <w:rFonts w:ascii="Times New Roman" w:hAnsi="Times New Roman" w:cs="Times New Roman"/>
                <w:b w:val="0"/>
                <w:sz w:val="24"/>
                <w:szCs w:val="24"/>
              </w:rPr>
              <w:t>0503127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«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Сведения об исполнении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бюджета» форма 0503164 в сост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ве пояснительной 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писки, утвержденные приказом Минфина РФ «Об утверждении 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струкции о порядке 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ставления и предста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ления годовой, ква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тальной и месячной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четности об исполн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нии бюджетов бюдже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системы РФ»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 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рактеризуют 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чество предста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ленной отчетн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</w:t>
            </w: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AD5170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.3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Отчет о расходах и численности работн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ков органов местного самоуправления:</w:t>
            </w:r>
          </w:p>
          <w:p w:rsidR="00D45649" w:rsidRDefault="00D45649" w:rsidP="007A074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Представление отчета в установленные сроки, наличие пояснительной записки и расшифр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вок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, наличие арифм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тических ошибок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УО3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УО3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Д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+ ПЗ + АО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1.Представление отчета в установле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ные сроки: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Д=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если отчет  представлен в срок,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Д=15, если 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представлен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просрочкой 1-3 дня,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Д=0, если просрочка больше 3 дней.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2.Наличие пояснительной записки, расшифровок к отчету: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ПЗ=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если пояснения и расшифровки представлены в полном объеме,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ПЗ=15, если пояснения и расшифровки представлены с ошибками и замечан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ями,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ПЗ = 0, если пояснения и расшифровки не представлены.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3.Наличие в отчете арифметических ошибок: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АО = </w:t>
            </w:r>
            <w:r w:rsidR="007A074D">
              <w:rPr>
                <w:rFonts w:ascii="Times New Roman" w:hAnsi="Times New Roman" w:cs="Times New Roman"/>
                <w:b w:val="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если отчет представлен без ошибок,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АО = 15, если допущено1-5 ошибок,</w:t>
            </w:r>
          </w:p>
          <w:p w:rsidR="00D45649" w:rsidRDefault="007A074D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АО = 0, если более 5 ошибок.</w:t>
            </w:r>
          </w:p>
        </w:tc>
        <w:tc>
          <w:tcPr>
            <w:tcW w:w="99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617F5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0,1</w:t>
            </w:r>
            <w:r w:rsidR="00617F58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Отчет о расходах и численности работн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ков органов МСУ, 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бирательных комиссий муниципальных обр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зований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 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рактеризуют 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чество предста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ленной бюдже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отчетности</w:t>
            </w: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AD5170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.4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Бюджетная отчетность:</w:t>
            </w:r>
          </w:p>
          <w:p w:rsidR="00D45649" w:rsidRDefault="00A82578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редоставление в УФ МР «Печора» бюдже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отчетности в уст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новленные сроки, в полном объеме, отсу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ствие ошибок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УО4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Д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+ ПО +ОО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1.Предоставление отчетов в устано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ленные сроки: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 = 30, если отчеты представлены в установленные сроки,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 = 0, если отчеты не представлены в установленные сроки.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2.Представление бюджетной отчетн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 в полном объеме: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= 35, если бюджетная отчетность представлена в полном объеме,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= 0, если отчеты представлены не в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полном объеме.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3.Отсутствие ошибок: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ОО = 35, если данные в бюджетной отчетности отражены без ошибок,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ОО = 0, если данные отражены с ошибками.</w:t>
            </w:r>
          </w:p>
        </w:tc>
        <w:tc>
          <w:tcPr>
            <w:tcW w:w="99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617F5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0,1</w:t>
            </w:r>
            <w:r w:rsidR="00617F58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0624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Бюджетная отчетность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соответствии с приказом Минфина РФ «Об утверждении 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струкции о порядке 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ставления и предста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ления годовой, ква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тальной и месячной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четности  об исполн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нии бюджетов бюдже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системы РФ»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 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рактеризуют 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чество предста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ленной бюдже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отчетности</w:t>
            </w:r>
          </w:p>
        </w:tc>
      </w:tr>
      <w:tr w:rsidR="00D45649" w:rsidTr="0076165D">
        <w:trPr>
          <w:trHeight w:val="5084"/>
        </w:trPr>
        <w:tc>
          <w:tcPr>
            <w:tcW w:w="675" w:type="dxa"/>
            <w:shd w:val="clear" w:color="auto" w:fill="auto"/>
          </w:tcPr>
          <w:p w:rsidR="00D45649" w:rsidRPr="001474D4" w:rsidRDefault="00B72E02" w:rsidP="00617F58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</w:t>
            </w:r>
            <w:r w:rsidR="00D45649"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617F58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D45649" w:rsidRPr="001474D4" w:rsidRDefault="00D45649" w:rsidP="004E33A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  <w:highlight w:val="magenta"/>
              </w:rPr>
            </w:pP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Бухгалтерская отче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ность б</w:t>
            </w:r>
            <w:r w:rsidR="0092179B"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юджетных, а</w:t>
            </w:r>
            <w:r w:rsidR="0092179B"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4E33AE">
              <w:rPr>
                <w:rFonts w:ascii="Times New Roman" w:hAnsi="Times New Roman" w:cs="Times New Roman"/>
                <w:b w:val="0"/>
                <w:sz w:val="24"/>
                <w:szCs w:val="24"/>
              </w:rPr>
              <w:t>тономных учреждений.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 6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 6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Д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+ ПО + ОО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1.Предоставление бухгалтерской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четности в установленные сроки: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 = 30, если отчеты представлены в установленные сроки,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 = 0, если отчеты не представлены в установленные сроки.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2.Представление бухгалтерской отче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ности в полном объеме: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 = 35, если бухгалтерская отче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ность представлена в полном объеме,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 = 0, если отчеты представлены не в полном объеме.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3.Отсутствие ошибок: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ОО = 35, если данные в бухгалтерской  отчетности отражены без ошибок, </w:t>
            </w:r>
          </w:p>
          <w:p w:rsidR="004E33AE" w:rsidRDefault="00D45649" w:rsidP="004E33A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ОО = 0, </w:t>
            </w:r>
            <w:r w:rsidR="004E33AE">
              <w:rPr>
                <w:rFonts w:ascii="Times New Roman" w:hAnsi="Times New Roman" w:cs="Times New Roman"/>
                <w:b w:val="0"/>
                <w:sz w:val="24"/>
                <w:szCs w:val="24"/>
              </w:rPr>
              <w:t>если данные отражены с ошибками</w:t>
            </w:r>
          </w:p>
        </w:tc>
        <w:tc>
          <w:tcPr>
            <w:tcW w:w="993" w:type="dxa"/>
            <w:shd w:val="clear" w:color="auto" w:fill="auto"/>
          </w:tcPr>
          <w:p w:rsidR="00D45649" w:rsidRDefault="004E33AE" w:rsidP="00425CE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алл</w:t>
            </w:r>
          </w:p>
          <w:p w:rsidR="004E33AE" w:rsidRDefault="004E33AE" w:rsidP="00425CE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E33AE" w:rsidRDefault="004E33AE" w:rsidP="004E33A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0,1</w:t>
            </w:r>
            <w:r w:rsidR="00617F58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  <w:p w:rsidR="004E33AE" w:rsidRDefault="004E33AE" w:rsidP="00425C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E33AE" w:rsidRDefault="004E33AE" w:rsidP="00425C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E33AE" w:rsidRDefault="004E33AE" w:rsidP="004E33A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4E33AE" w:rsidRDefault="00D45649" w:rsidP="004E33A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Бухгалтерская отче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ность, согласно приказу Минфина РФ  «Об утверждении Инстру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 о порядке соста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ления и представления годовой, квартальной бухгалтерской отчетн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 государственных (муниципальных) бю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жетных и автономных учрежде</w:t>
            </w:r>
            <w:r w:rsidR="004E33AE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ний</w:t>
            </w:r>
          </w:p>
        </w:tc>
        <w:tc>
          <w:tcPr>
            <w:tcW w:w="2127" w:type="dxa"/>
            <w:shd w:val="clear" w:color="auto" w:fill="auto"/>
          </w:tcPr>
          <w:p w:rsidR="00D45649" w:rsidRDefault="00D45649" w:rsidP="004E33A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 хара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теризует качество представленной бухгалтерской 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4E33AE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четности</w:t>
            </w:r>
          </w:p>
          <w:p w:rsidR="004E33AE" w:rsidRDefault="004E33AE" w:rsidP="004E33A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E33AE" w:rsidRDefault="004E33AE" w:rsidP="004E33A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E33AE" w:rsidRDefault="004E33AE" w:rsidP="004E33A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E33AE" w:rsidRDefault="004E33AE" w:rsidP="004E33A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E33AE" w:rsidRDefault="004E33AE" w:rsidP="004E33A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Pr="004B2B8C" w:rsidRDefault="00B72E02" w:rsidP="00617F5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D45649"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617F58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D45649" w:rsidRPr="004B2B8C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  <w:highlight w:val="magenta"/>
              </w:rPr>
            </w:pP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недостач и х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щений денежных средств и материал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r w:rsidRP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ных ценностей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УО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УО7 = 100 х ( 1 – Т /  ( О + НА + МЗ + А +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+ Д + Ф)),  где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 – сумма установленных недостач и хищений денежных средств и матер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альных ценностей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отчетном финансовом году;</w:t>
            </w:r>
          </w:p>
          <w:p w:rsidR="00D45649" w:rsidRDefault="00062426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– основные средства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остаточ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ная стоимость)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– нематериальные активы (ост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точная стоимость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)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   МЗ – мат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риальные запасы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 – вложения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нефинансовые активы;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нефинансовые активы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ГАС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пути;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 – денежные средства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45649" w:rsidRDefault="00D45649" w:rsidP="000624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 – финансовые вложения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D45649" w:rsidRDefault="00B91B4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Pr="00625A4D" w:rsidRDefault="00D45649" w:rsidP="00617F5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</w:t>
            </w:r>
            <w:r w:rsidR="00617F58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040064" w:rsidP="000624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Сведения о недостачах и хищениях денежных средств и материал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ь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ных ценностей, Баланс главного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тора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утвержденных приказом Минфина РФ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И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струкции о порядке с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ставления и предста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ления годовой, ква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тальной и месячной о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четности об исполн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нии бюджетов бюдже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ной систе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мы РФ»</w:t>
            </w: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0624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Наличие сумм установленных недостач и хищ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ний денежных средств и матер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альных ценностей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отчетном финансовом году свидетельствует о низком качестве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финансового 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неджмента</w:t>
            </w: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8790" w:type="dxa"/>
            <w:gridSpan w:val="4"/>
            <w:shd w:val="clear" w:color="auto" w:fill="auto"/>
          </w:tcPr>
          <w:p w:rsidR="00D45649" w:rsidRPr="000836F1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  <w:u w:val="single"/>
              </w:rPr>
            </w:pPr>
            <w:r w:rsidRPr="000836F1">
              <w:rPr>
                <w:rFonts w:ascii="Times New Roman" w:hAnsi="Times New Roman" w:cs="Times New Roman"/>
                <w:b w:val="0"/>
                <w:sz w:val="26"/>
                <w:szCs w:val="26"/>
                <w:u w:val="single"/>
              </w:rPr>
              <w:t>Наличие нормативных актов в области финансового менеджмента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0,1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.1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утвержденных стандартов качества предоставляемых услуг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1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1 = 100, если стандарты качества предоставляемых услуг утверждены по всем услугам и видам учреждений,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1 = 50, если стандарты утверждены не по всем услугам или учреждениям,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1 = 0, стандарты качества пред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ставляемых услуг не утверждены </w:t>
            </w:r>
          </w:p>
        </w:tc>
        <w:tc>
          <w:tcPr>
            <w:tcW w:w="99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854910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0,3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B72E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.2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0624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Наличие нормативного акта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 порядке осуществления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троля 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соответствием качества оказания услуг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2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2 = 100, при наличии нормативн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го акта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порядка осуществления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соответствием качества оказания услуг,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2 = 50, разработка нормативного акта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 порядке осуществления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соответствием качества оказания услуг,</w:t>
            </w:r>
          </w:p>
          <w:p w:rsidR="00D45649" w:rsidRDefault="00D45649" w:rsidP="000624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2 = 0, отсутствие нормативного акта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 порядке осуществления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соответствием качества оказания услуг.</w:t>
            </w:r>
          </w:p>
        </w:tc>
        <w:tc>
          <w:tcPr>
            <w:tcW w:w="99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854910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0,3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.3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D71B6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Наличие нормативных актов в области ко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троля 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3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3 = 100,0 </w:t>
            </w:r>
            <w:r w:rsidR="00D71B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 условии наличия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графиков проведения </w:t>
            </w:r>
            <w:r w:rsidR="00D71B66">
              <w:rPr>
                <w:rFonts w:ascii="Times New Roman" w:hAnsi="Times New Roman" w:cs="Times New Roman"/>
                <w:b w:val="0"/>
                <w:sz w:val="24"/>
                <w:szCs w:val="24"/>
              </w:rPr>
              <w:t>и методики ос</w:t>
            </w:r>
            <w:r w:rsidR="00D71B66"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="00D71B6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ществления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проверок </w:t>
            </w:r>
            <w:r w:rsidR="00D71B6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внутреннему контролю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45649" w:rsidRDefault="00524FCB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3 = 50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если  наличие  графиков проверок по внутреннему контролю</w:t>
            </w:r>
          </w:p>
        </w:tc>
        <w:tc>
          <w:tcPr>
            <w:tcW w:w="99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0,2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854910">
              <w:rPr>
                <w:rFonts w:ascii="Times New Roman" w:hAnsi="Times New Roman" w:cs="Times New Roman"/>
                <w:b w:val="0"/>
                <w:sz w:val="24"/>
                <w:szCs w:val="24"/>
              </w:rPr>
              <w:t>.4</w:t>
            </w:r>
          </w:p>
        </w:tc>
        <w:tc>
          <w:tcPr>
            <w:tcW w:w="2694" w:type="dxa"/>
            <w:shd w:val="clear" w:color="auto" w:fill="auto"/>
          </w:tcPr>
          <w:p w:rsidR="00D45649" w:rsidRDefault="00040064" w:rsidP="000624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нормативного акта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, регламентиру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ю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щего  п</w:t>
            </w:r>
            <w:r w:rsidR="00D45649" w:rsidRPr="00D520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роведение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proofErr w:type="gramEnd"/>
            <w:r w:rsidR="00D45649" w:rsidRPr="00D520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45649" w:rsidRPr="00D5200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мониторинга результ</w:t>
            </w:r>
            <w:r w:rsidR="00D45649" w:rsidRPr="00D52006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D45649" w:rsidRPr="00D52006">
              <w:rPr>
                <w:rFonts w:ascii="Times New Roman" w:hAnsi="Times New Roman" w:cs="Times New Roman"/>
                <w:b w:val="0"/>
                <w:sz w:val="24"/>
                <w:szCs w:val="24"/>
              </w:rPr>
              <w:t>тов деятельности по</w:t>
            </w:r>
            <w:r w:rsidR="00D45649" w:rsidRPr="00D52006"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="00D45649" w:rsidRPr="00D52006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ведомственных мун</w:t>
            </w:r>
            <w:r w:rsidR="00D45649" w:rsidRPr="00D52006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D45649" w:rsidRPr="00D52006">
              <w:rPr>
                <w:rFonts w:ascii="Times New Roman" w:hAnsi="Times New Roman" w:cs="Times New Roman"/>
                <w:b w:val="0"/>
                <w:sz w:val="24"/>
                <w:szCs w:val="24"/>
              </w:rPr>
              <w:t>ципальных учреждений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 5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= 100, если нормативный акт ра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работан и утвержден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 = 0, если нормативный акт не ра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работан (разработан) и не утвержден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0,2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6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8790" w:type="dxa"/>
            <w:gridSpan w:val="4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0,1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.1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0624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Исполнение судебных актов по денежным обязательствам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ИСА 1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ИСА 1 = </w:t>
            </w:r>
            <w:r w:rsidRPr="00AF48AE">
              <w:rPr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1 -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Pr="00AF48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r w:rsidRPr="00AF48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proofErr w:type="gramStart"/>
            <w:r w:rsidRPr="00AF48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)</w:t>
            </w:r>
            <w:proofErr w:type="gramEnd"/>
            <w:r w:rsidRPr="00AF48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 100, где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 – сумма, подлежащая взысканию по неисполненным исполнительным 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кументам за счет средств местного бюджета на начало отчетного периода,</w:t>
            </w:r>
          </w:p>
          <w:p w:rsidR="00D45649" w:rsidRPr="00AF48AE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 -  сумма по неисполненным испо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нительным документам за счет средств местного бюджета на конец отчетного периода</w:t>
            </w:r>
          </w:p>
        </w:tc>
        <w:tc>
          <w:tcPr>
            <w:tcW w:w="993" w:type="dxa"/>
            <w:shd w:val="clear" w:color="auto" w:fill="auto"/>
          </w:tcPr>
          <w:p w:rsidR="00D45649" w:rsidRDefault="00B91B4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D748B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</w:t>
            </w:r>
            <w:r w:rsid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.2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Сумма, подлежащая взысканию по исполн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тельным документам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ИСА 2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ИСА 2 =  (1 -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/ К) х 100, где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сумма, подлежащая взысканию по поступившим с начала финансового года исполнительным документам за счет средств местного бюджета по 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стоянию на конец года,</w:t>
            </w:r>
          </w:p>
          <w:p w:rsidR="00D45649" w:rsidRPr="00322DF3" w:rsidRDefault="00D45649" w:rsidP="000624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кассовое исполнение расходов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отчетном периоде</w:t>
            </w:r>
          </w:p>
        </w:tc>
        <w:tc>
          <w:tcPr>
            <w:tcW w:w="993" w:type="dxa"/>
            <w:shd w:val="clear" w:color="auto" w:fill="auto"/>
          </w:tcPr>
          <w:p w:rsidR="00D45649" w:rsidRDefault="00B91B4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D748B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</w:t>
            </w:r>
            <w:r w:rsidR="00D748B0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8790" w:type="dxa"/>
            <w:gridSpan w:val="4"/>
            <w:shd w:val="clear" w:color="auto" w:fill="auto"/>
          </w:tcPr>
          <w:p w:rsidR="00D45649" w:rsidRDefault="00D45649" w:rsidP="000624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Квалификация сотрудников финансово-экономического подразделения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E33A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0,05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45649" w:rsidTr="0076165D">
        <w:tc>
          <w:tcPr>
            <w:tcW w:w="675" w:type="dxa"/>
            <w:shd w:val="clear" w:color="auto" w:fill="auto"/>
          </w:tcPr>
          <w:p w:rsidR="00D45649" w:rsidRDefault="00B72E02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D45649">
              <w:rPr>
                <w:rFonts w:ascii="Times New Roman" w:hAnsi="Times New Roman" w:cs="Times New Roman"/>
                <w:b w:val="0"/>
                <w:sz w:val="24"/>
                <w:szCs w:val="24"/>
              </w:rPr>
              <w:t>.1</w:t>
            </w:r>
          </w:p>
        </w:tc>
        <w:tc>
          <w:tcPr>
            <w:tcW w:w="2694" w:type="dxa"/>
            <w:shd w:val="clear" w:color="auto" w:fill="auto"/>
          </w:tcPr>
          <w:p w:rsidR="00D45649" w:rsidRDefault="00D45649" w:rsidP="000624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квалиф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кации сотрудников ф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нанс</w:t>
            </w:r>
            <w:r w:rsidR="00A0576E">
              <w:rPr>
                <w:rFonts w:ascii="Times New Roman" w:hAnsi="Times New Roman" w:cs="Times New Roman"/>
                <w:b w:val="0"/>
                <w:sz w:val="24"/>
                <w:szCs w:val="24"/>
              </w:rPr>
              <w:t>ового (финансово экономического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 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разделения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</w:p>
        </w:tc>
        <w:tc>
          <w:tcPr>
            <w:tcW w:w="850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КС 1</w:t>
            </w:r>
          </w:p>
        </w:tc>
        <w:tc>
          <w:tcPr>
            <w:tcW w:w="4253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КС 1 =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kv</w:t>
            </w:r>
            <w:proofErr w:type="spellEnd"/>
            <w:r w:rsidRPr="00D00FFB"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D00F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х</w:t>
            </w:r>
            <w:r w:rsidRPr="00D00F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100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 где </w:t>
            </w:r>
          </w:p>
          <w:p w:rsidR="00D45649" w:rsidRDefault="00D45649" w:rsidP="00425CE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  <w:lang w:val="en-US"/>
              </w:rPr>
              <w:t>kv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-  количество сотрудников фина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сового ( финансово экономического ) подразделения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обладающих св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детельствами ( сертификатами, уд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стоверениями) о прохождении пов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шения квалификации в области эк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номики и финансов в течение после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них трех лет,</w:t>
            </w:r>
          </w:p>
          <w:p w:rsidR="00D45649" w:rsidRPr="00D00FFB" w:rsidRDefault="00D45649" w:rsidP="0006242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общее фактическое количество сотрудников финансового ( финанс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во-экономического) подразделения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по состоянию на 1 января тек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щего  финансового года</w:t>
            </w:r>
          </w:p>
        </w:tc>
        <w:tc>
          <w:tcPr>
            <w:tcW w:w="993" w:type="dxa"/>
            <w:shd w:val="clear" w:color="auto" w:fill="auto"/>
          </w:tcPr>
          <w:p w:rsidR="00D45649" w:rsidRDefault="00A72F0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1" w:type="dxa"/>
            <w:shd w:val="clear" w:color="auto" w:fill="auto"/>
          </w:tcPr>
          <w:p w:rsidR="00D45649" w:rsidRDefault="00D45649" w:rsidP="00425CE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D45649" w:rsidRPr="00625A4D" w:rsidRDefault="00D45649" w:rsidP="000D61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45649" w:rsidRPr="00625A4D" w:rsidRDefault="00D45649" w:rsidP="0006242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Прохождение п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вышения квал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фикации в обл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сти экономики и финансов ведет  к росту уровня кв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лификации 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трудников фина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="00040064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сового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финанс</w:t>
            </w:r>
            <w:r w:rsidR="006A7F7D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6A7F7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во -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экономич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</w:t>
            </w:r>
            <w:r w:rsidR="006A7F7D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 подразд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ления </w:t>
            </w:r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 Цел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вым ориентиром для </w:t>
            </w:r>
            <w:proofErr w:type="gramStart"/>
            <w:r w:rsidR="00062426">
              <w:rPr>
                <w:rFonts w:ascii="Times New Roman" w:hAnsi="Times New Roman" w:cs="Times New Roman"/>
                <w:b w:val="0"/>
                <w:sz w:val="24"/>
                <w:szCs w:val="24"/>
              </w:rPr>
              <w:t>ГАС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является значение показ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теля, равное 100%.</w:t>
            </w:r>
          </w:p>
        </w:tc>
      </w:tr>
    </w:tbl>
    <w:p w:rsidR="00C65852" w:rsidRPr="00FC7B21" w:rsidRDefault="00D45649" w:rsidP="004E33AE">
      <w:pPr>
        <w:widowControl w:val="0"/>
        <w:outlineLvl w:val="1"/>
      </w:pPr>
      <w:r>
        <w:rPr>
          <w:highlight w:val="yellow"/>
        </w:rPr>
        <w:lastRenderedPageBreak/>
        <w:t xml:space="preserve">    </w:t>
      </w:r>
    </w:p>
    <w:sectPr w:rsidR="00C65852" w:rsidRPr="00FC7B21" w:rsidSect="000A23A4">
      <w:pgSz w:w="16838" w:h="11906" w:orient="landscape"/>
      <w:pgMar w:top="1276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6322"/>
    <w:multiLevelType w:val="hybridMultilevel"/>
    <w:tmpl w:val="BEF695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">
    <w:nsid w:val="152612C7"/>
    <w:multiLevelType w:val="hybridMultilevel"/>
    <w:tmpl w:val="78C6A41E"/>
    <w:lvl w:ilvl="0" w:tplc="360A7E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A61B27"/>
    <w:multiLevelType w:val="hybridMultilevel"/>
    <w:tmpl w:val="E0082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60230D"/>
    <w:multiLevelType w:val="hybridMultilevel"/>
    <w:tmpl w:val="B7BE805A"/>
    <w:lvl w:ilvl="0" w:tplc="0BA8A41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CAC10AE"/>
    <w:multiLevelType w:val="hybridMultilevel"/>
    <w:tmpl w:val="1B2E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E88138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21F8"/>
    <w:multiLevelType w:val="hybridMultilevel"/>
    <w:tmpl w:val="0FD0E7D2"/>
    <w:lvl w:ilvl="0" w:tplc="D8FCEC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4A11BD"/>
    <w:multiLevelType w:val="hybridMultilevel"/>
    <w:tmpl w:val="8B6878AC"/>
    <w:lvl w:ilvl="0" w:tplc="4E88138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7D378B"/>
    <w:multiLevelType w:val="hybridMultilevel"/>
    <w:tmpl w:val="23EC8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A433F6"/>
    <w:multiLevelType w:val="hybridMultilevel"/>
    <w:tmpl w:val="B42C819A"/>
    <w:lvl w:ilvl="0" w:tplc="1FDC7D12">
      <w:start w:val="2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>
    <w:nsid w:val="43ED162E"/>
    <w:multiLevelType w:val="hybridMultilevel"/>
    <w:tmpl w:val="F788D610"/>
    <w:lvl w:ilvl="0" w:tplc="11E01020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49C4C7B"/>
    <w:multiLevelType w:val="hybridMultilevel"/>
    <w:tmpl w:val="0FD0E7D2"/>
    <w:lvl w:ilvl="0" w:tplc="D8FCEC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353F7A"/>
    <w:multiLevelType w:val="hybridMultilevel"/>
    <w:tmpl w:val="AACE19F0"/>
    <w:lvl w:ilvl="0" w:tplc="FB6CE7E6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2">
    <w:nsid w:val="599D2DFE"/>
    <w:multiLevelType w:val="hybridMultilevel"/>
    <w:tmpl w:val="61380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A1169A"/>
    <w:multiLevelType w:val="hybridMultilevel"/>
    <w:tmpl w:val="8B98DAD2"/>
    <w:lvl w:ilvl="0" w:tplc="F62CA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185596"/>
    <w:multiLevelType w:val="singleLevel"/>
    <w:tmpl w:val="25B27F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5">
    <w:nsid w:val="6CDD3A0C"/>
    <w:multiLevelType w:val="hybridMultilevel"/>
    <w:tmpl w:val="619E7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05C3F20"/>
    <w:multiLevelType w:val="hybridMultilevel"/>
    <w:tmpl w:val="BEF69552"/>
    <w:lvl w:ilvl="0" w:tplc="5016E84C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17">
    <w:nsid w:val="71AC1F4E"/>
    <w:multiLevelType w:val="hybridMultilevel"/>
    <w:tmpl w:val="78C6A41E"/>
    <w:lvl w:ilvl="0" w:tplc="360A7E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3FF5B38"/>
    <w:multiLevelType w:val="hybridMultilevel"/>
    <w:tmpl w:val="3F24C1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75F21512"/>
    <w:multiLevelType w:val="hybridMultilevel"/>
    <w:tmpl w:val="5A7A88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037C2E"/>
    <w:multiLevelType w:val="hybridMultilevel"/>
    <w:tmpl w:val="755851B6"/>
    <w:lvl w:ilvl="0" w:tplc="0419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37"/>
        </w:tabs>
        <w:ind w:left="14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97"/>
        </w:tabs>
        <w:ind w:left="35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57"/>
        </w:tabs>
        <w:ind w:left="5757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"/>
  </w:num>
  <w:num w:numId="5">
    <w:abstractNumId w:val="17"/>
  </w:num>
  <w:num w:numId="6">
    <w:abstractNumId w:val="9"/>
  </w:num>
  <w:num w:numId="7">
    <w:abstractNumId w:val="7"/>
  </w:num>
  <w:num w:numId="8">
    <w:abstractNumId w:val="14"/>
  </w:num>
  <w:num w:numId="9">
    <w:abstractNumId w:val="16"/>
  </w:num>
  <w:num w:numId="10">
    <w:abstractNumId w:val="0"/>
  </w:num>
  <w:num w:numId="11">
    <w:abstractNumId w:val="20"/>
  </w:num>
  <w:num w:numId="12">
    <w:abstractNumId w:val="3"/>
  </w:num>
  <w:num w:numId="13">
    <w:abstractNumId w:val="11"/>
  </w:num>
  <w:num w:numId="14">
    <w:abstractNumId w:val="2"/>
  </w:num>
  <w:num w:numId="15">
    <w:abstractNumId w:val="4"/>
  </w:num>
  <w:num w:numId="16">
    <w:abstractNumId w:val="6"/>
  </w:num>
  <w:num w:numId="17">
    <w:abstractNumId w:val="15"/>
  </w:num>
  <w:num w:numId="18">
    <w:abstractNumId w:val="12"/>
  </w:num>
  <w:num w:numId="19">
    <w:abstractNumId w:val="18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417AD"/>
    <w:rsid w:val="0001658F"/>
    <w:rsid w:val="00040064"/>
    <w:rsid w:val="00062426"/>
    <w:rsid w:val="000870DE"/>
    <w:rsid w:val="000A23A4"/>
    <w:rsid w:val="000B3687"/>
    <w:rsid w:val="000D61B7"/>
    <w:rsid w:val="00110009"/>
    <w:rsid w:val="001253F0"/>
    <w:rsid w:val="001474D4"/>
    <w:rsid w:val="001729D1"/>
    <w:rsid w:val="00204857"/>
    <w:rsid w:val="002177AE"/>
    <w:rsid w:val="00250035"/>
    <w:rsid w:val="00280648"/>
    <w:rsid w:val="00283A94"/>
    <w:rsid w:val="002B3549"/>
    <w:rsid w:val="002D59AE"/>
    <w:rsid w:val="002D6E39"/>
    <w:rsid w:val="002F2B43"/>
    <w:rsid w:val="003361B9"/>
    <w:rsid w:val="00352FBD"/>
    <w:rsid w:val="00353A9F"/>
    <w:rsid w:val="003727E1"/>
    <w:rsid w:val="003749EA"/>
    <w:rsid w:val="003C7A5A"/>
    <w:rsid w:val="003D1590"/>
    <w:rsid w:val="003F4E8B"/>
    <w:rsid w:val="00405936"/>
    <w:rsid w:val="00425CE0"/>
    <w:rsid w:val="00443706"/>
    <w:rsid w:val="00483873"/>
    <w:rsid w:val="00484D7E"/>
    <w:rsid w:val="00492F54"/>
    <w:rsid w:val="004B1C5F"/>
    <w:rsid w:val="004B2B8C"/>
    <w:rsid w:val="004C1141"/>
    <w:rsid w:val="004C264C"/>
    <w:rsid w:val="004E33AE"/>
    <w:rsid w:val="004E3AC8"/>
    <w:rsid w:val="00524FCB"/>
    <w:rsid w:val="00552F37"/>
    <w:rsid w:val="00561D5E"/>
    <w:rsid w:val="00563C9D"/>
    <w:rsid w:val="00574F48"/>
    <w:rsid w:val="00587BA0"/>
    <w:rsid w:val="005A0733"/>
    <w:rsid w:val="005A4E04"/>
    <w:rsid w:val="005B31D9"/>
    <w:rsid w:val="005C41F7"/>
    <w:rsid w:val="005D6AE3"/>
    <w:rsid w:val="006112DC"/>
    <w:rsid w:val="00617F58"/>
    <w:rsid w:val="00620B36"/>
    <w:rsid w:val="0064730F"/>
    <w:rsid w:val="006662DF"/>
    <w:rsid w:val="00675D55"/>
    <w:rsid w:val="00695E59"/>
    <w:rsid w:val="006A7F7D"/>
    <w:rsid w:val="006B111A"/>
    <w:rsid w:val="006B4351"/>
    <w:rsid w:val="006B7E40"/>
    <w:rsid w:val="006C73D8"/>
    <w:rsid w:val="006D2739"/>
    <w:rsid w:val="006D3CF8"/>
    <w:rsid w:val="006E26C3"/>
    <w:rsid w:val="00702EAA"/>
    <w:rsid w:val="00707867"/>
    <w:rsid w:val="007130D0"/>
    <w:rsid w:val="00733FD3"/>
    <w:rsid w:val="00744E90"/>
    <w:rsid w:val="00747D7E"/>
    <w:rsid w:val="00751ECD"/>
    <w:rsid w:val="0076165D"/>
    <w:rsid w:val="00792FFF"/>
    <w:rsid w:val="007A074D"/>
    <w:rsid w:val="007A21C2"/>
    <w:rsid w:val="007E20D3"/>
    <w:rsid w:val="0081430B"/>
    <w:rsid w:val="008231AF"/>
    <w:rsid w:val="008311A3"/>
    <w:rsid w:val="00854910"/>
    <w:rsid w:val="008702FF"/>
    <w:rsid w:val="008A6A18"/>
    <w:rsid w:val="008A761F"/>
    <w:rsid w:val="00907E36"/>
    <w:rsid w:val="00911361"/>
    <w:rsid w:val="0092179B"/>
    <w:rsid w:val="00927B25"/>
    <w:rsid w:val="009337D0"/>
    <w:rsid w:val="00934076"/>
    <w:rsid w:val="00937F47"/>
    <w:rsid w:val="009501AF"/>
    <w:rsid w:val="00950F5A"/>
    <w:rsid w:val="00955BD0"/>
    <w:rsid w:val="009B4E14"/>
    <w:rsid w:val="009E5D7B"/>
    <w:rsid w:val="009E6808"/>
    <w:rsid w:val="009F56C4"/>
    <w:rsid w:val="00A0576E"/>
    <w:rsid w:val="00A30A9E"/>
    <w:rsid w:val="00A36BE9"/>
    <w:rsid w:val="00A4743D"/>
    <w:rsid w:val="00A50773"/>
    <w:rsid w:val="00A52214"/>
    <w:rsid w:val="00A57229"/>
    <w:rsid w:val="00A630FE"/>
    <w:rsid w:val="00A6444C"/>
    <w:rsid w:val="00A665EB"/>
    <w:rsid w:val="00A72F09"/>
    <w:rsid w:val="00A82578"/>
    <w:rsid w:val="00A95F4E"/>
    <w:rsid w:val="00AD058C"/>
    <w:rsid w:val="00AD5170"/>
    <w:rsid w:val="00B022D8"/>
    <w:rsid w:val="00B26382"/>
    <w:rsid w:val="00B318FD"/>
    <w:rsid w:val="00B417AD"/>
    <w:rsid w:val="00B527CA"/>
    <w:rsid w:val="00B54DB0"/>
    <w:rsid w:val="00B577AE"/>
    <w:rsid w:val="00B64781"/>
    <w:rsid w:val="00B72E02"/>
    <w:rsid w:val="00B91B42"/>
    <w:rsid w:val="00BA4CE6"/>
    <w:rsid w:val="00BE290F"/>
    <w:rsid w:val="00C04116"/>
    <w:rsid w:val="00C047F6"/>
    <w:rsid w:val="00C23E3E"/>
    <w:rsid w:val="00C44A30"/>
    <w:rsid w:val="00C461BB"/>
    <w:rsid w:val="00C50FA3"/>
    <w:rsid w:val="00C65852"/>
    <w:rsid w:val="00C67C1C"/>
    <w:rsid w:val="00CF61BA"/>
    <w:rsid w:val="00D16545"/>
    <w:rsid w:val="00D45649"/>
    <w:rsid w:val="00D560D1"/>
    <w:rsid w:val="00D66D54"/>
    <w:rsid w:val="00D67467"/>
    <w:rsid w:val="00D71B66"/>
    <w:rsid w:val="00D748B0"/>
    <w:rsid w:val="00DD0051"/>
    <w:rsid w:val="00DF0630"/>
    <w:rsid w:val="00E4317F"/>
    <w:rsid w:val="00E47775"/>
    <w:rsid w:val="00E73280"/>
    <w:rsid w:val="00E869A4"/>
    <w:rsid w:val="00ED653E"/>
    <w:rsid w:val="00EE0C76"/>
    <w:rsid w:val="00F1003B"/>
    <w:rsid w:val="00F20CF2"/>
    <w:rsid w:val="00F27520"/>
    <w:rsid w:val="00F3695A"/>
    <w:rsid w:val="00F4469F"/>
    <w:rsid w:val="00FC7B21"/>
    <w:rsid w:val="00FD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C3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5852"/>
    <w:pPr>
      <w:keepNext/>
      <w:tabs>
        <w:tab w:val="left" w:pos="7938"/>
      </w:tabs>
      <w:overflowPunct/>
      <w:adjustRightInd/>
      <w:ind w:left="1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65852"/>
    <w:pPr>
      <w:keepNext/>
      <w:overflowPunct/>
      <w:autoSpaceDE/>
      <w:autoSpaceDN/>
      <w:adjustRightInd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C65852"/>
    <w:pPr>
      <w:keepNext/>
      <w:overflowPunct/>
      <w:autoSpaceDE/>
      <w:autoSpaceDN/>
      <w:adjustRightInd/>
      <w:jc w:val="center"/>
      <w:outlineLvl w:val="2"/>
    </w:pPr>
    <w:rPr>
      <w:b/>
      <w:bCs/>
      <w:sz w:val="28"/>
      <w:szCs w:val="24"/>
    </w:rPr>
  </w:style>
  <w:style w:type="paragraph" w:styleId="4">
    <w:name w:val="heading 4"/>
    <w:basedOn w:val="a"/>
    <w:next w:val="a"/>
    <w:link w:val="40"/>
    <w:uiPriority w:val="9"/>
    <w:qFormat/>
    <w:rsid w:val="00C65852"/>
    <w:pPr>
      <w:keepNext/>
      <w:overflowPunct/>
      <w:autoSpaceDE/>
      <w:autoSpaceDN/>
      <w:adjustRightInd/>
      <w:ind w:right="-6"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6E26C3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uiPriority w:val="99"/>
    <w:rsid w:val="006E26C3"/>
    <w:rPr>
      <w:b/>
      <w:bCs/>
      <w:sz w:val="18"/>
      <w:lang w:eastAsia="ru-RU"/>
    </w:rPr>
  </w:style>
  <w:style w:type="paragraph" w:styleId="31">
    <w:name w:val="Body Text 3"/>
    <w:basedOn w:val="a"/>
    <w:link w:val="32"/>
    <w:uiPriority w:val="99"/>
    <w:unhideWhenUsed/>
    <w:rsid w:val="006E26C3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rsid w:val="006E26C3"/>
    <w:rPr>
      <w:sz w:val="24"/>
      <w:lang w:eastAsia="ru-RU"/>
    </w:rPr>
  </w:style>
  <w:style w:type="paragraph" w:customStyle="1" w:styleId="ConsPlusNormal">
    <w:name w:val="ConsPlusNormal"/>
    <w:rsid w:val="006E26C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6E26C3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6E26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E26C3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702F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C65852"/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65852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5852"/>
    <w:rPr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65852"/>
    <w:rPr>
      <w:sz w:val="28"/>
      <w:szCs w:val="28"/>
      <w:lang w:eastAsia="ru-RU"/>
    </w:rPr>
  </w:style>
  <w:style w:type="paragraph" w:customStyle="1" w:styleId="ConsPlusCell">
    <w:name w:val="ConsPlusCell"/>
    <w:uiPriority w:val="99"/>
    <w:rsid w:val="00C65852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C65852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rsid w:val="00C65852"/>
    <w:pPr>
      <w:keepNext/>
      <w:widowControl w:val="0"/>
      <w:jc w:val="center"/>
      <w:textAlignment w:val="baseline"/>
    </w:pPr>
    <w:rPr>
      <w:sz w:val="30"/>
    </w:rPr>
  </w:style>
  <w:style w:type="paragraph" w:customStyle="1" w:styleId="23">
    <w:name w:val="заголовок 2"/>
    <w:basedOn w:val="a"/>
    <w:next w:val="a"/>
    <w:rsid w:val="00C65852"/>
    <w:pPr>
      <w:keepNext/>
      <w:widowControl w:val="0"/>
      <w:ind w:left="6237" w:right="118"/>
      <w:textAlignment w:val="baseline"/>
    </w:pPr>
    <w:rPr>
      <w:sz w:val="24"/>
    </w:rPr>
  </w:style>
  <w:style w:type="paragraph" w:customStyle="1" w:styleId="33">
    <w:name w:val="заголовок 3"/>
    <w:basedOn w:val="a"/>
    <w:next w:val="a"/>
    <w:rsid w:val="00C65852"/>
    <w:pPr>
      <w:keepNext/>
      <w:widowControl w:val="0"/>
      <w:spacing w:line="312" w:lineRule="atLeast"/>
      <w:ind w:right="571" w:firstLine="567"/>
      <w:jc w:val="both"/>
      <w:textAlignment w:val="baseline"/>
    </w:pPr>
    <w:rPr>
      <w:sz w:val="24"/>
    </w:rPr>
  </w:style>
  <w:style w:type="character" w:styleId="a7">
    <w:name w:val="Hyperlink"/>
    <w:basedOn w:val="a0"/>
    <w:uiPriority w:val="99"/>
    <w:rsid w:val="00C65852"/>
    <w:rPr>
      <w:rFonts w:cs="Times New Roman"/>
      <w:color w:val="0000FF"/>
      <w:u w:val="single"/>
    </w:rPr>
  </w:style>
  <w:style w:type="paragraph" w:styleId="a8">
    <w:name w:val="caption"/>
    <w:basedOn w:val="a"/>
    <w:next w:val="a"/>
    <w:uiPriority w:val="35"/>
    <w:qFormat/>
    <w:rsid w:val="00C65852"/>
    <w:pPr>
      <w:overflowPunct/>
      <w:autoSpaceDE/>
      <w:autoSpaceDN/>
      <w:adjustRightInd/>
      <w:spacing w:line="240" w:lineRule="atLeast"/>
      <w:ind w:left="284" w:right="283"/>
      <w:jc w:val="center"/>
    </w:pPr>
    <w:rPr>
      <w:b/>
      <w:bCs/>
      <w:caps/>
      <w:spacing w:val="-20"/>
      <w:sz w:val="30"/>
    </w:rPr>
  </w:style>
  <w:style w:type="paragraph" w:styleId="a9">
    <w:name w:val="Body Text"/>
    <w:basedOn w:val="a"/>
    <w:link w:val="aa"/>
    <w:uiPriority w:val="99"/>
    <w:rsid w:val="00C6585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7938"/>
      </w:tabs>
      <w:overflowPunct/>
      <w:autoSpaceDE/>
      <w:autoSpaceDN/>
      <w:adjustRightInd/>
    </w:pPr>
    <w:rPr>
      <w:sz w:val="28"/>
    </w:rPr>
  </w:style>
  <w:style w:type="character" w:customStyle="1" w:styleId="aa">
    <w:name w:val="Основной текст Знак"/>
    <w:basedOn w:val="a0"/>
    <w:link w:val="a9"/>
    <w:uiPriority w:val="99"/>
    <w:rsid w:val="00C65852"/>
    <w:rPr>
      <w:sz w:val="28"/>
      <w:lang w:eastAsia="ru-RU"/>
    </w:rPr>
  </w:style>
  <w:style w:type="paragraph" w:styleId="34">
    <w:name w:val="Body Text Indent 3"/>
    <w:basedOn w:val="a"/>
    <w:link w:val="35"/>
    <w:uiPriority w:val="99"/>
    <w:rsid w:val="00C65852"/>
    <w:pPr>
      <w:tabs>
        <w:tab w:val="left" w:pos="7938"/>
      </w:tabs>
      <w:overflowPunct/>
      <w:adjustRightInd/>
      <w:ind w:left="142"/>
    </w:pPr>
    <w:rPr>
      <w:b/>
      <w:bCs/>
      <w:sz w:val="28"/>
      <w:szCs w:val="28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C65852"/>
    <w:rPr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6585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  <w:lang w:eastAsia="ru-RU"/>
    </w:rPr>
  </w:style>
  <w:style w:type="paragraph" w:customStyle="1" w:styleId="ConsPlusDocList">
    <w:name w:val="ConsPlusDocList"/>
    <w:uiPriority w:val="99"/>
    <w:rsid w:val="00C6585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C3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6E26C3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6E26C3"/>
    <w:rPr>
      <w:b/>
      <w:bCs/>
      <w:sz w:val="18"/>
      <w:lang w:eastAsia="ru-RU"/>
    </w:rPr>
  </w:style>
  <w:style w:type="paragraph" w:styleId="31">
    <w:name w:val="Body Text 3"/>
    <w:basedOn w:val="a"/>
    <w:link w:val="32"/>
    <w:semiHidden/>
    <w:unhideWhenUsed/>
    <w:rsid w:val="006E26C3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6E26C3"/>
    <w:rPr>
      <w:sz w:val="24"/>
      <w:lang w:eastAsia="ru-RU"/>
    </w:rPr>
  </w:style>
  <w:style w:type="paragraph" w:customStyle="1" w:styleId="ConsPlusNormal">
    <w:name w:val="ConsPlusNormal"/>
    <w:rsid w:val="006E26C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6E26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26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26C3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702FF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96B56-3AC5-4F3A-8872-1340DC6C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14</cp:revision>
  <cp:lastPrinted>2020-04-24T09:39:00Z</cp:lastPrinted>
  <dcterms:created xsi:type="dcterms:W3CDTF">2014-04-01T14:21:00Z</dcterms:created>
  <dcterms:modified xsi:type="dcterms:W3CDTF">2021-05-13T10:30:00Z</dcterms:modified>
</cp:coreProperties>
</file>