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8A7267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постановлени</w:t>
      </w:r>
      <w:r w:rsidR="00097845">
        <w:rPr>
          <w:rFonts w:eastAsia="Calibri"/>
          <w:szCs w:val="26"/>
        </w:rPr>
        <w:t xml:space="preserve">ю </w:t>
      </w:r>
      <w:r w:rsidR="008A7267"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от </w:t>
      </w:r>
      <w:r w:rsidR="000C523F">
        <w:rPr>
          <w:rFonts w:eastAsia="Calibri"/>
          <w:szCs w:val="26"/>
        </w:rPr>
        <w:t>11</w:t>
      </w:r>
      <w:r>
        <w:rPr>
          <w:rFonts w:eastAsia="Calibri"/>
          <w:szCs w:val="26"/>
        </w:rPr>
        <w:t>.</w:t>
      </w:r>
      <w:r w:rsidR="00097845">
        <w:rPr>
          <w:rFonts w:eastAsia="Calibri"/>
          <w:szCs w:val="26"/>
        </w:rPr>
        <w:t>03</w:t>
      </w:r>
      <w:r>
        <w:rPr>
          <w:rFonts w:eastAsia="Calibri"/>
          <w:szCs w:val="26"/>
        </w:rPr>
        <w:t>.20</w:t>
      </w:r>
      <w:r w:rsidR="00097845">
        <w:rPr>
          <w:rFonts w:eastAsia="Calibri"/>
          <w:szCs w:val="26"/>
        </w:rPr>
        <w:t>21</w:t>
      </w:r>
      <w:r>
        <w:rPr>
          <w:rFonts w:eastAsia="Calibri"/>
          <w:szCs w:val="26"/>
        </w:rPr>
        <w:t xml:space="preserve"> г. № </w:t>
      </w:r>
      <w:r w:rsidR="00097845">
        <w:rPr>
          <w:rFonts w:eastAsia="Calibri"/>
          <w:szCs w:val="26"/>
        </w:rPr>
        <w:t xml:space="preserve"> </w:t>
      </w:r>
      <w:r w:rsidR="000C523F">
        <w:rPr>
          <w:rFonts w:eastAsia="Calibri"/>
          <w:szCs w:val="26"/>
        </w:rPr>
        <w:t>197</w:t>
      </w:r>
      <w:bookmarkStart w:id="0" w:name="_GoBack"/>
      <w:bookmarkEnd w:id="0"/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010354">
              <w:rPr>
                <w:color w:val="000000"/>
                <w:sz w:val="20"/>
              </w:rPr>
              <w:lastRenderedPageBreak/>
              <w:t>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муниципальных образовательных организаций, требующих </w:t>
            </w:r>
            <w:r w:rsidRPr="00010354">
              <w:rPr>
                <w:color w:val="000000"/>
                <w:sz w:val="20"/>
              </w:rPr>
              <w:lastRenderedPageBreak/>
              <w:t>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01035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Предоставление компенсации родителям (законным представителям) платы за присмотр и уход за детьми, посещающими образовательные организации </w:t>
            </w:r>
            <w:r w:rsidRPr="00256BB9">
              <w:rPr>
                <w:sz w:val="20"/>
              </w:rPr>
              <w:lastRenderedPageBreak/>
              <w:t>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Доля детей в возрасте 1 - 6 лет, получающих дошкольную образовательную услугу и (или) услугу по их содержанию в муниципальных </w:t>
            </w:r>
            <w:r w:rsidRPr="00010354">
              <w:rPr>
                <w:color w:val="000000"/>
                <w:sz w:val="20"/>
              </w:rPr>
              <w:lastRenderedPageBreak/>
              <w:t>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учреждениях, в общей </w:t>
            </w:r>
            <w:r w:rsidRPr="00010354">
              <w:rPr>
                <w:color w:val="000000" w:themeColor="text1"/>
                <w:sz w:val="20"/>
              </w:rPr>
              <w:lastRenderedPageBreak/>
              <w:t>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Рост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Снижение удовлетворенности населения качеством дошкольного образования от общего  числа опрошенных родителей, дети которых посещают </w:t>
            </w:r>
            <w:r w:rsidRPr="00256BB9">
              <w:rPr>
                <w:sz w:val="20"/>
              </w:rPr>
              <w:lastRenderedPageBreak/>
              <w:t>ДОО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количества дошкольных образовательных организаций, в которых реализуются  основные </w:t>
            </w:r>
            <w:r w:rsidRPr="00010354">
              <w:rPr>
                <w:sz w:val="20"/>
              </w:rPr>
              <w:lastRenderedPageBreak/>
              <w:t>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</w:t>
            </w:r>
            <w:proofErr w:type="gramStart"/>
            <w:r w:rsidRPr="00256BB9">
              <w:rPr>
                <w:sz w:val="20"/>
              </w:rPr>
              <w:t>реализующих</w:t>
            </w:r>
            <w:proofErr w:type="gramEnd"/>
            <w:r w:rsidRPr="00256BB9">
              <w:rPr>
                <w:sz w:val="20"/>
              </w:rPr>
              <w:t xml:space="preserve">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</w:t>
            </w:r>
            <w:r w:rsidRPr="00010354">
              <w:rPr>
                <w:sz w:val="20"/>
              </w:rPr>
              <w:lastRenderedPageBreak/>
              <w:t xml:space="preserve">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</w:t>
            </w:r>
            <w:r w:rsidRPr="00256BB9">
              <w:rPr>
                <w:sz w:val="20"/>
              </w:rPr>
              <w:lastRenderedPageBreak/>
              <w:t xml:space="preserve">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профессионального роста квалифицированны</w:t>
            </w:r>
            <w:r w:rsidRPr="00256BB9">
              <w:rPr>
                <w:sz w:val="20"/>
              </w:rPr>
              <w:lastRenderedPageBreak/>
              <w:t>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</w:t>
            </w:r>
            <w:r w:rsidRPr="00BF4000">
              <w:rPr>
                <w:sz w:val="20"/>
              </w:rPr>
              <w:lastRenderedPageBreak/>
              <w:t xml:space="preserve">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</w:t>
            </w:r>
            <w:proofErr w:type="gramStart"/>
            <w:r w:rsidRPr="00256BB9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</w:t>
            </w:r>
            <w:r w:rsidRPr="00BF4000">
              <w:rPr>
                <w:sz w:val="20"/>
              </w:rPr>
              <w:lastRenderedPageBreak/>
              <w:t>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56BB9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56BB9" w:rsidRDefault="00693C09" w:rsidP="00105305">
            <w:pPr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**</w:t>
            </w:r>
            <w:r w:rsidR="009D2920" w:rsidRPr="00256BB9">
              <w:rPr>
                <w:sz w:val="20"/>
              </w:rPr>
              <w:t>Основное мероприятие 2.1.1.</w:t>
            </w:r>
          </w:p>
          <w:p w:rsidR="009D2920" w:rsidRPr="00256BB9" w:rsidRDefault="009D292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56BB9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56BB9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256BB9">
              <w:rPr>
                <w:sz w:val="20"/>
              </w:rPr>
              <w:t xml:space="preserve"> ,</w:t>
            </w:r>
            <w:proofErr w:type="gramEnd"/>
            <w:r w:rsidRPr="00256BB9">
              <w:rPr>
                <w:sz w:val="20"/>
              </w:rPr>
              <w:t xml:space="preserve"> среднего общего образования</w:t>
            </w:r>
          </w:p>
          <w:p w:rsidR="009D2920" w:rsidRPr="00256BB9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>Обновлена материально-</w:t>
            </w:r>
            <w:r w:rsidRPr="00256BB9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lastRenderedPageBreak/>
              <w:t xml:space="preserve">техническая база для формирования у обучающихся современных технологических и гуманитарных навыков. </w:t>
            </w:r>
          </w:p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rFonts w:eastAsia="Arial Unicode MS"/>
                <w:bCs/>
                <w:sz w:val="20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256BB9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>
              <w:rPr>
                <w:sz w:val="20"/>
              </w:rPr>
              <w:t>.</w:t>
            </w:r>
          </w:p>
          <w:p w:rsidR="00A20E9A" w:rsidRPr="00BF4000" w:rsidRDefault="00A20E9A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Доля выпускников муниципальных общеобразовательных организаций, не получивших аттестат о среднем полном </w:t>
            </w:r>
            <w:r w:rsidRPr="00BF4000">
              <w:rPr>
                <w:color w:val="000000" w:themeColor="text1"/>
                <w:sz w:val="20"/>
              </w:rPr>
              <w:lastRenderedPageBreak/>
              <w:t>образовании, в общей численности выпускников муниципальных общеобразовательных организаций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9D2920" w:rsidRPr="00BF4000" w:rsidRDefault="009D292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в муниципальных общеобразовательных организациях</w:t>
            </w:r>
            <w:r w:rsidR="007274D0">
              <w:rPr>
                <w:sz w:val="20"/>
              </w:rPr>
              <w:t>.</w:t>
            </w:r>
          </w:p>
          <w:p w:rsidR="007D1B38" w:rsidRPr="00BF4000" w:rsidRDefault="007D1B38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BF4000" w:rsidRDefault="009D2920" w:rsidP="00105305">
            <w:pPr>
              <w:rPr>
                <w:sz w:val="20"/>
              </w:rPr>
            </w:pPr>
          </w:p>
          <w:p w:rsidR="009D2920" w:rsidRPr="00BF4000" w:rsidRDefault="009D2920" w:rsidP="00105305">
            <w:pPr>
              <w:rPr>
                <w:sz w:val="20"/>
              </w:rPr>
            </w:pPr>
          </w:p>
        </w:tc>
      </w:tr>
      <w:tr w:rsidR="007D2C8C" w:rsidRPr="00256BB9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</w:t>
            </w:r>
            <w:r w:rsidRPr="00BF4000">
              <w:rPr>
                <w:sz w:val="20"/>
              </w:rPr>
              <w:lastRenderedPageBreak/>
              <w:t xml:space="preserve">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образовательных </w:t>
            </w:r>
            <w:proofErr w:type="gramStart"/>
            <w:r w:rsidRPr="00BF4000">
              <w:rPr>
                <w:sz w:val="20"/>
              </w:rPr>
              <w:t>организаций</w:t>
            </w:r>
            <w:proofErr w:type="gramEnd"/>
            <w:r w:rsidRPr="00BF4000">
              <w:rPr>
                <w:sz w:val="20"/>
              </w:rPr>
              <w:t xml:space="preserve"> в которых выполнены организационные, </w:t>
            </w:r>
            <w:r w:rsidRPr="00BF4000">
              <w:rPr>
                <w:sz w:val="20"/>
              </w:rPr>
              <w:lastRenderedPageBreak/>
              <w:t>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BF4000">
              <w:rPr>
                <w:sz w:val="20"/>
              </w:rPr>
              <w:t>естественно-научного</w:t>
            </w:r>
            <w:proofErr w:type="gramEnd"/>
            <w:r w:rsidRPr="00BF4000">
              <w:rPr>
                <w:sz w:val="20"/>
              </w:rPr>
              <w:t xml:space="preserve">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BF4000">
              <w:rPr>
                <w:sz w:val="20"/>
              </w:rPr>
              <w:t>естественно-научного</w:t>
            </w:r>
            <w:proofErr w:type="gramEnd"/>
            <w:r w:rsidRPr="00BF4000">
              <w:rPr>
                <w:sz w:val="20"/>
              </w:rPr>
              <w:t xml:space="preserve">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в </w:t>
            </w:r>
            <w:proofErr w:type="gramStart"/>
            <w:r w:rsidRPr="00BF4000">
              <w:rPr>
                <w:sz w:val="20"/>
              </w:rPr>
              <w:t>которых</w:t>
            </w:r>
            <w:proofErr w:type="gramEnd"/>
            <w:r w:rsidRPr="00BF4000">
              <w:rPr>
                <w:sz w:val="20"/>
              </w:rPr>
              <w:t xml:space="preserve">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Pr="00010354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</w:t>
            </w:r>
            <w:r w:rsidRPr="00256BB9">
              <w:rPr>
                <w:sz w:val="20"/>
              </w:rPr>
              <w:lastRenderedPageBreak/>
              <w:t>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гарантии на получение ежемесячной </w:t>
            </w:r>
            <w:r w:rsidRPr="00256BB9">
              <w:rPr>
                <w:sz w:val="20"/>
              </w:rPr>
              <w:lastRenderedPageBreak/>
              <w:t>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государственной гарантией на получение </w:t>
            </w:r>
            <w:r w:rsidRPr="00256BB9">
              <w:rPr>
                <w:sz w:val="20"/>
              </w:rPr>
              <w:lastRenderedPageBreak/>
              <w:t>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количеству граждан, имеющих право на получение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256BB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</w:p>
          <w:p w:rsidR="005D5F21" w:rsidRPr="00256BB9" w:rsidRDefault="00923AEA" w:rsidP="005D5F21">
            <w:pPr>
              <w:rPr>
                <w:sz w:val="20"/>
              </w:rPr>
            </w:pPr>
            <w:r w:rsidRPr="00256BB9">
              <w:rPr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BF4000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BF4000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4F2B1D">
            <w:pPr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Сохранение и укрепление здоровья обучающихся, воспитанников путём оптимизации их питания в образовательных </w:t>
            </w:r>
            <w:r w:rsidRPr="00256BB9">
              <w:rPr>
                <w:sz w:val="20"/>
              </w:rPr>
              <w:lastRenderedPageBreak/>
              <w:t>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proofErr w:type="gramStart"/>
            <w:r w:rsidRPr="00BF4000">
              <w:rPr>
                <w:sz w:val="20"/>
              </w:rPr>
              <w:lastRenderedPageBreak/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7C7948" w:rsidRPr="00256BB9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2 «Повышение качества общего образования»</w:t>
            </w:r>
          </w:p>
        </w:tc>
      </w:tr>
      <w:tr w:rsidR="00246DE0" w:rsidRPr="00256BB9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BF4000">
              <w:rPr>
                <w:sz w:val="20"/>
              </w:rPr>
              <w:t>численности</w:t>
            </w:r>
            <w:proofErr w:type="gramEnd"/>
            <w:r w:rsidRPr="00BF4000">
              <w:rPr>
                <w:sz w:val="20"/>
              </w:rPr>
              <w:t xml:space="preserve"> обучающихся по основным программам общего образования)</w:t>
            </w:r>
          </w:p>
        </w:tc>
      </w:tr>
      <w:tr w:rsidR="00110D88" w:rsidRPr="00256BB9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3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BF4000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BF4000">
              <w:rPr>
                <w:rFonts w:ascii="Times New Roman" w:hAnsi="Times New Roman" w:cs="Times New Roman"/>
              </w:rPr>
              <w:t xml:space="preserve">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 xml:space="preserve">ества </w:t>
            </w:r>
            <w:r w:rsidR="004B4B66">
              <w:rPr>
                <w:rFonts w:ascii="Times New Roman" w:hAnsi="Times New Roman" w:cs="Times New Roman"/>
              </w:rPr>
              <w:lastRenderedPageBreak/>
              <w:t>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Доля общеобразовательных </w:t>
            </w:r>
            <w:r w:rsidRPr="00BF4000">
              <w:rPr>
                <w:rFonts w:ascii="Times New Roman" w:hAnsi="Times New Roman" w:cs="Times New Roman"/>
              </w:rPr>
              <w:lastRenderedPageBreak/>
              <w:t>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7C7948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283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</w:t>
            </w:r>
            <w:r w:rsidRPr="00BF4000">
              <w:rPr>
                <w:sz w:val="20"/>
              </w:rPr>
              <w:lastRenderedPageBreak/>
              <w:t>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 xml:space="preserve">Количество созданных новых мест дополнительного </w:t>
            </w:r>
            <w:r w:rsidRPr="00BF4000">
              <w:rPr>
                <w:sz w:val="20"/>
              </w:rPr>
              <w:lastRenderedPageBreak/>
              <w:t>образования.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7C7948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</w:t>
            </w:r>
            <w:r w:rsidRPr="00256BB9">
              <w:rPr>
                <w:sz w:val="20"/>
              </w:rPr>
              <w:lastRenderedPageBreak/>
              <w:t>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гарантии на получение ежемесячной </w:t>
            </w:r>
            <w:r w:rsidRPr="00256BB9">
              <w:rPr>
                <w:sz w:val="20"/>
              </w:rPr>
              <w:lastRenderedPageBreak/>
              <w:t>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государственной гарантией на получение </w:t>
            </w:r>
            <w:r w:rsidRPr="00256BB9">
              <w:rPr>
                <w:sz w:val="20"/>
              </w:rPr>
              <w:lastRenderedPageBreak/>
              <w:t>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количеству граждан, имеющих право на получение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C86672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 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lastRenderedPageBreak/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256BB9">
              <w:rPr>
                <w:sz w:val="20"/>
              </w:rPr>
              <w:t>дополнительном</w:t>
            </w:r>
            <w:proofErr w:type="gramEnd"/>
            <w:r w:rsidRPr="00256BB9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256BB9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 xml:space="preserve">состоящих на  </w:t>
            </w:r>
            <w:proofErr w:type="spellStart"/>
            <w:r w:rsidRPr="00256BB9">
              <w:rPr>
                <w:iCs/>
                <w:sz w:val="20"/>
              </w:rPr>
              <w:t>внутришкольном</w:t>
            </w:r>
            <w:proofErr w:type="spellEnd"/>
            <w:r w:rsidRPr="00256BB9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BF4000">
              <w:rPr>
                <w:iCs/>
                <w:sz w:val="20"/>
              </w:rPr>
              <w:t>внутришкольном</w:t>
            </w:r>
            <w:proofErr w:type="spellEnd"/>
            <w:r w:rsidRPr="00BF4000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4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7C7948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</w:t>
            </w:r>
            <w:r w:rsidRPr="00BF4000">
              <w:rPr>
                <w:sz w:val="20"/>
              </w:rPr>
              <w:lastRenderedPageBreak/>
              <w:t>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256BB9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7C7948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CE169D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lastRenderedPageBreak/>
              <w:t>38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283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EF63D2" w:rsidP="006A68D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6A68D1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 xml:space="preserve">Количество детей, охваченных отдыхом в </w:t>
            </w:r>
            <w:r w:rsidRPr="00BF4000">
              <w:rPr>
                <w:sz w:val="20"/>
              </w:rPr>
              <w:lastRenderedPageBreak/>
              <w:t>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256BB9">
              <w:rPr>
                <w:sz w:val="20"/>
              </w:rPr>
              <w:t xml:space="preserve"> ,</w:t>
            </w:r>
            <w:proofErr w:type="gramEnd"/>
            <w:r w:rsidRPr="00256BB9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proofErr w:type="spellStart"/>
            <w:r w:rsidRPr="00256BB9">
              <w:rPr>
                <w:sz w:val="20"/>
              </w:rPr>
              <w:t>ность</w:t>
            </w:r>
            <w:proofErr w:type="spellEnd"/>
            <w:proofErr w:type="gramEnd"/>
            <w:r w:rsidRPr="00256BB9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lastRenderedPageBreak/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6A68D1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6A68D1">
              <w:rPr>
                <w:sz w:val="20"/>
              </w:rPr>
              <w:t>2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388" w:rsidRDefault="00EC2388">
      <w:r>
        <w:separator/>
      </w:r>
    </w:p>
  </w:endnote>
  <w:endnote w:type="continuationSeparator" w:id="0">
    <w:p w:rsidR="00EC2388" w:rsidRDefault="00EC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5C" w:rsidRDefault="00E6305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E6305C" w:rsidRDefault="00E6305C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05C" w:rsidRDefault="00E6305C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0C523F">
      <w:rPr>
        <w:rStyle w:val="af6"/>
        <w:noProof/>
      </w:rPr>
      <w:t>1</w:t>
    </w:r>
    <w:r>
      <w:rPr>
        <w:rStyle w:val="af6"/>
      </w:rPr>
      <w:fldChar w:fldCharType="end"/>
    </w:r>
  </w:p>
  <w:p w:rsidR="00E6305C" w:rsidRDefault="00E6305C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388" w:rsidRDefault="00EC2388">
      <w:r>
        <w:separator/>
      </w:r>
    </w:p>
  </w:footnote>
  <w:footnote w:type="continuationSeparator" w:id="0">
    <w:p w:rsidR="00EC2388" w:rsidRDefault="00EC2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5F81"/>
    <w:rsid w:val="00076227"/>
    <w:rsid w:val="00077614"/>
    <w:rsid w:val="0008580A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C523F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57EB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B9C48-14CC-4219-99D4-05D55DF41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5695</Words>
  <Characters>32467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38086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Умеренкова ЛН</cp:lastModifiedBy>
  <cp:revision>35</cp:revision>
  <cp:lastPrinted>2021-03-02T06:38:00Z</cp:lastPrinted>
  <dcterms:created xsi:type="dcterms:W3CDTF">2021-03-11T05:57:00Z</dcterms:created>
  <dcterms:modified xsi:type="dcterms:W3CDTF">2021-03-11T11:44:00Z</dcterms:modified>
</cp:coreProperties>
</file>